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rPr>
          <w:rFonts w:ascii="黑体" w:hAnsi="黑体" w:eastAsia="黑体"/>
          <w:sz w:val="48"/>
          <w:szCs w:val="48"/>
          <w:highlight w:val="none"/>
        </w:rPr>
      </w:pPr>
    </w:p>
    <w:p>
      <w:pPr>
        <w:pStyle w:val="15"/>
        <w:ind w:left="0" w:leftChars="0" w:firstLine="0" w:firstLineChars="0"/>
        <w:jc w:val="center"/>
        <w:rPr>
          <w:rFonts w:ascii="黑体" w:hAnsi="黑体" w:eastAsia="黑体"/>
          <w:sz w:val="52"/>
          <w:szCs w:val="52"/>
          <w:highlight w:val="none"/>
        </w:rPr>
      </w:pPr>
      <w:r>
        <w:rPr>
          <w:rFonts w:hint="eastAsia" w:ascii="黑体" w:hAnsi="黑体" w:eastAsia="黑体"/>
          <w:sz w:val="52"/>
          <w:szCs w:val="52"/>
          <w:highlight w:val="none"/>
          <w:lang w:eastAsia="zh-CN"/>
        </w:rPr>
        <w:t>龙岩老区苏区路高速公路绿化养护提升改造工程</w:t>
      </w:r>
      <w:r>
        <w:rPr>
          <w:rFonts w:hint="eastAsia" w:ascii="黑体" w:hAnsi="黑体" w:eastAsia="黑体"/>
          <w:sz w:val="52"/>
          <w:szCs w:val="52"/>
          <w:highlight w:val="none"/>
        </w:rPr>
        <w:t>施工协作队伍选择</w:t>
      </w:r>
    </w:p>
    <w:p>
      <w:pPr>
        <w:pStyle w:val="15"/>
        <w:ind w:left="0" w:leftChars="0" w:firstLine="0" w:firstLineChars="0"/>
        <w:jc w:val="center"/>
        <w:rPr>
          <w:rFonts w:ascii="黑体" w:hAnsi="黑体" w:eastAsia="黑体"/>
          <w:sz w:val="52"/>
          <w:szCs w:val="52"/>
          <w:highlight w:val="none"/>
        </w:rPr>
      </w:pPr>
    </w:p>
    <w:p>
      <w:pPr>
        <w:pStyle w:val="10"/>
        <w:rPr>
          <w:rFonts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15"/>
        <w:ind w:firstLine="400"/>
        <w:rPr>
          <w:highlight w:val="none"/>
        </w:rPr>
      </w:pPr>
    </w:p>
    <w:p>
      <w:pPr>
        <w:pStyle w:val="15"/>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 xml:space="preserve">XM2-2023-LW-006 </w:t>
      </w:r>
    </w:p>
    <w:p>
      <w:pPr>
        <w:jc w:val="center"/>
        <w:rPr>
          <w:rFonts w:ascii="仿宋_GB2312" w:hAnsi="宋体" w:eastAsia="仿宋_GB2312"/>
          <w:b/>
          <w:bCs/>
          <w:sz w:val="36"/>
          <w:szCs w:val="28"/>
          <w:highlight w:val="none"/>
        </w:rPr>
      </w:pPr>
    </w:p>
    <w:p>
      <w:pPr>
        <w:rPr>
          <w:rFonts w:ascii="仿宋_GB2312" w:hAnsi="宋体" w:eastAsia="仿宋_GB2312"/>
          <w:b/>
          <w:bCs/>
          <w:sz w:val="36"/>
          <w:szCs w:val="28"/>
          <w:highlight w:val="none"/>
        </w:rPr>
      </w:pPr>
    </w:p>
    <w:p>
      <w:pPr>
        <w:spacing w:line="480" w:lineRule="auto"/>
        <w:rPr>
          <w:rFonts w:ascii="黑体" w:hAnsi="新宋体" w:eastAsia="黑体"/>
          <w:b/>
          <w:sz w:val="36"/>
          <w:szCs w:val="36"/>
          <w:highlight w:val="none"/>
        </w:rPr>
      </w:pPr>
    </w:p>
    <w:p>
      <w:pPr>
        <w:spacing w:line="480" w:lineRule="auto"/>
        <w:rPr>
          <w:rFonts w:hint="eastAsia" w:ascii="黑体" w:hAnsi="新宋体" w:eastAsia="黑体"/>
          <w:b/>
          <w:sz w:val="36"/>
          <w:szCs w:val="36"/>
          <w:highlight w:val="none"/>
          <w:lang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eastAsia="zh-CN"/>
        </w:rPr>
        <w:t>福建省高速公路养护工程有限公司项目经理部二</w:t>
      </w:r>
    </w:p>
    <w:p>
      <w:pPr>
        <w:pStyle w:val="15"/>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4</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10"/>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龙岩老区苏区路高速公路绿化养护提升改造工程</w:t>
      </w:r>
      <w:r>
        <w:rPr>
          <w:rFonts w:hint="eastAsia" w:eastAsia="仿宋"/>
          <w:sz w:val="28"/>
          <w:szCs w:val="28"/>
          <w:highlight w:val="none"/>
          <w:u w:val="single"/>
        </w:rPr>
        <w:t>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 xml:space="preserve">XM2-2023-LW-006 </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龙岩老区苏区路高速公路绿化养护提升改造工程</w:t>
      </w:r>
      <w:r>
        <w:rPr>
          <w:rFonts w:hint="eastAsia" w:eastAsia="仿宋"/>
          <w:sz w:val="28"/>
          <w:szCs w:val="28"/>
          <w:highlight w:val="none"/>
          <w:u w:val="single"/>
        </w:rPr>
        <w:t>施工协作队伍选择。</w:t>
      </w:r>
    </w:p>
    <w:p>
      <w:pPr>
        <w:spacing w:line="400" w:lineRule="exact"/>
        <w:ind w:firstLine="560" w:firstLineChars="200"/>
        <w:jc w:val="left"/>
        <w:rPr>
          <w:rFonts w:hint="eastAsia"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：合同包项目位于</w:t>
      </w:r>
      <w:r>
        <w:rPr>
          <w:rFonts w:hint="eastAsia" w:eastAsia="仿宋"/>
          <w:sz w:val="28"/>
          <w:szCs w:val="28"/>
          <w:highlight w:val="none"/>
          <w:u w:val="single"/>
          <w:lang w:eastAsia="zh-CN"/>
        </w:rPr>
        <w:t>厦蓉高速龙长段</w:t>
      </w:r>
      <w:r>
        <w:rPr>
          <w:rFonts w:hint="eastAsia" w:eastAsia="仿宋"/>
          <w:sz w:val="28"/>
          <w:szCs w:val="28"/>
          <w:highlight w:val="none"/>
          <w:u w:val="single"/>
        </w:rPr>
        <w:t>沿线；</w:t>
      </w:r>
    </w:p>
    <w:p>
      <w:pPr>
        <w:spacing w:line="400" w:lineRule="exact"/>
        <w:ind w:firstLine="560" w:firstLineChars="200"/>
        <w:jc w:val="left"/>
        <w:rPr>
          <w:rFonts w:hint="default" w:eastAsia="仿宋"/>
          <w:sz w:val="28"/>
          <w:szCs w:val="28"/>
          <w:highlight w:val="none"/>
          <w:u w:val="single"/>
          <w:lang w:val="en-US" w:eastAsia="zh-CN"/>
        </w:rPr>
      </w:pPr>
      <w:r>
        <w:rPr>
          <w:rFonts w:hint="eastAsia" w:eastAsia="仿宋"/>
          <w:sz w:val="28"/>
          <w:szCs w:val="28"/>
          <w:highlight w:val="none"/>
          <w:u w:val="single"/>
        </w:rPr>
        <w:t>合同包主要工程量暂定为</w:t>
      </w:r>
      <w:r>
        <w:rPr>
          <w:rFonts w:hint="eastAsia" w:eastAsia="仿宋"/>
          <w:sz w:val="28"/>
          <w:szCs w:val="28"/>
          <w:highlight w:val="none"/>
          <w:u w:val="single"/>
          <w:lang w:eastAsia="zh-CN"/>
        </w:rPr>
        <w:t>：</w:t>
      </w:r>
      <w:r>
        <w:rPr>
          <w:rFonts w:hint="eastAsia" w:eastAsia="仿宋"/>
          <w:sz w:val="28"/>
          <w:szCs w:val="28"/>
          <w:highlight w:val="none"/>
          <w:u w:val="single"/>
          <w:lang w:val="en-US" w:eastAsia="zh-CN"/>
        </w:rPr>
        <w:t>香樟（米径15cm，高度≥600cm，冠幅≥300cm）4株，香樟（米径12-13cm，高度≥400cm，冠幅≥200cm）37株，天竺桂（米径14cm，高度≥450cm，冠幅≥250cm）60株，福建山樱花23株，金桂8株，银叶金合欢126株，红枫2株，罗汉松桩景A  6株，罗汉松桩景B 19株，红花继木桩景A  4株，红花继木桩景B 12株，大叶女贞 55株，北美海棠 123株，紫荆花 31株，红叶石楠球A 108株，红叶石楠球B 9株，龟甲冬青球A 23株，龟甲冬青球B 18株，花叶女贞球 16株，无刺枸骨球(高度100cm，冠幅80cm) 7株，无刺枸骨球(高度120cm，冠幅120cm) 15株，灌化毛杜鹃球 28株，苏铁 12株，黄金枸骨 597.99 ㎡，红花继木671.26 ㎡，毛杜鹃 1073.22㎡，红叶石楠 227.33 ㎡，茶梅244.67㎡，韭兰95.06 m2，麦冬272.77m2，夹竹桃272株，凌霄 740株，双荚槐 38株，草籽喷播、挂网 7150m2，种植土 1851 m³等等。</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cs="Times New Roman"/>
          <w:i w:val="0"/>
          <w:iCs w:val="0"/>
          <w:color w:val="000000"/>
          <w:kern w:val="0"/>
          <w:sz w:val="24"/>
          <w:szCs w:val="24"/>
          <w:u w:val="none"/>
          <w:lang w:val="en-US" w:eastAsia="zh-CN" w:bidi="ar"/>
        </w:rPr>
        <w:t>1988862</w:t>
      </w:r>
      <w:r>
        <w:rPr>
          <w:rFonts w:hint="eastAsia" w:ascii="Calibri" w:hAnsi="Calibri" w:eastAsia="仿宋"/>
          <w:sz w:val="28"/>
          <w:szCs w:val="28"/>
          <w:highlight w:val="none"/>
        </w:rPr>
        <w:t>元。</w:t>
      </w:r>
    </w:p>
    <w:p>
      <w:pPr>
        <w:pStyle w:val="30"/>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60个日历天。</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val="en-US" w:eastAsia="zh-CN"/>
        </w:rPr>
        <w:t>具体以采购人通知的实际进场时间以及工程实际完工时间为准。</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highlight w:val="none"/>
        </w:rPr>
      </w:pPr>
      <w:r>
        <w:rPr>
          <w:rFonts w:hint="eastAsia" w:eastAsia="仿宋"/>
          <w:sz w:val="28"/>
          <w:szCs w:val="28"/>
          <w:highlight w:val="none"/>
        </w:rPr>
        <w:t>1、本项目在</w:t>
      </w:r>
      <w:r>
        <w:rPr>
          <w:rFonts w:hint="eastAsia" w:ascii="宋体" w:hAnsi="宋体" w:cs="宋体"/>
          <w:b/>
          <w:bCs/>
          <w:sz w:val="28"/>
          <w:szCs w:val="28"/>
          <w:u w:val="single"/>
        </w:rPr>
        <w:t>本项目在</w:t>
      </w:r>
      <w:r>
        <w:rPr>
          <w:rFonts w:hint="eastAsia" w:ascii="宋体" w:hAnsi="宋体" w:cs="宋体"/>
          <w:b/>
          <w:bCs/>
          <w:sz w:val="28"/>
          <w:szCs w:val="28"/>
          <w:u w:val="single"/>
          <w:lang w:val="en-US" w:eastAsia="zh-CN"/>
        </w:rPr>
        <w:t>福建省高速公路养护工程有限公司合格供应商库（</w:t>
      </w:r>
      <w:r>
        <w:rPr>
          <w:rFonts w:hint="eastAsia" w:ascii="仿宋" w:hAnsi="仿宋" w:eastAsia="仿宋" w:cs="宋体"/>
          <w:b/>
          <w:bCs/>
          <w:kern w:val="0"/>
          <w:sz w:val="28"/>
          <w:szCs w:val="28"/>
        </w:rPr>
        <w:t>绿化专业分包类施工单位</w:t>
      </w:r>
      <w:r>
        <w:rPr>
          <w:rFonts w:hint="eastAsia" w:ascii="仿宋" w:hAnsi="仿宋" w:eastAsia="仿宋" w:cs="宋体"/>
          <w:b/>
          <w:bCs/>
          <w:kern w:val="0"/>
          <w:sz w:val="28"/>
          <w:szCs w:val="28"/>
          <w:u w:val="single"/>
          <w:lang w:eastAsia="zh-CN"/>
        </w:rPr>
        <w:t>）</w:t>
      </w:r>
      <w:r>
        <w:rPr>
          <w:rFonts w:hint="eastAsia" w:ascii="宋体" w:hAnsi="宋体" w:cs="宋体"/>
          <w:b/>
          <w:bCs/>
          <w:sz w:val="28"/>
          <w:szCs w:val="28"/>
          <w:u w:val="single"/>
          <w:lang w:val="en-US" w:eastAsia="zh-CN"/>
        </w:rPr>
        <w:t>内</w:t>
      </w:r>
      <w:r>
        <w:rPr>
          <w:rFonts w:hint="eastAsia" w:ascii="宋体" w:hAnsi="宋体" w:cs="宋体"/>
          <w:b/>
          <w:bCs/>
          <w:sz w:val="28"/>
          <w:szCs w:val="28"/>
          <w:u w:val="single"/>
        </w:rPr>
        <w:t>进行采购</w:t>
      </w:r>
      <w:r>
        <w:rPr>
          <w:rFonts w:hint="eastAsia" w:eastAsia="仿宋"/>
          <w:sz w:val="28"/>
          <w:szCs w:val="28"/>
          <w:highlight w:val="none"/>
        </w:rPr>
        <w:t>，</w:t>
      </w:r>
      <w:r>
        <w:rPr>
          <w:rFonts w:hint="eastAsia" w:ascii="宋体" w:hAnsi="宋体" w:cs="宋体"/>
          <w:b/>
          <w:bCs/>
          <w:sz w:val="28"/>
          <w:szCs w:val="28"/>
        </w:rPr>
        <w:t>若报价人不在</w:t>
      </w:r>
      <w:r>
        <w:rPr>
          <w:rFonts w:hint="eastAsia" w:ascii="宋体" w:hAnsi="宋体" w:cs="宋体"/>
          <w:b/>
          <w:bCs/>
          <w:sz w:val="28"/>
          <w:szCs w:val="28"/>
          <w:u w:val="single"/>
          <w:lang w:val="en-US" w:eastAsia="zh-CN"/>
        </w:rPr>
        <w:t>福建省高速公路养护工程有限公司合格供应商库（</w:t>
      </w:r>
      <w:r>
        <w:rPr>
          <w:rFonts w:hint="eastAsia" w:ascii="仿宋" w:hAnsi="仿宋" w:eastAsia="仿宋" w:cs="宋体"/>
          <w:b/>
          <w:bCs/>
          <w:kern w:val="0"/>
          <w:sz w:val="28"/>
          <w:szCs w:val="28"/>
        </w:rPr>
        <w:t>绿化专业分包类施工单位</w:t>
      </w:r>
      <w:r>
        <w:rPr>
          <w:rFonts w:hint="eastAsia" w:ascii="仿宋" w:hAnsi="仿宋" w:eastAsia="仿宋" w:cs="宋体"/>
          <w:b/>
          <w:bCs/>
          <w:kern w:val="0"/>
          <w:sz w:val="28"/>
          <w:szCs w:val="28"/>
          <w:u w:val="single"/>
          <w:lang w:eastAsia="zh-CN"/>
        </w:rPr>
        <w:t>）</w:t>
      </w:r>
      <w:r>
        <w:rPr>
          <w:rFonts w:hint="eastAsia" w:ascii="宋体" w:hAnsi="宋体" w:cs="宋体"/>
          <w:b/>
          <w:bCs/>
          <w:sz w:val="28"/>
          <w:szCs w:val="28"/>
          <w:u w:val="single"/>
        </w:rPr>
        <w:t>内</w:t>
      </w:r>
      <w:r>
        <w:rPr>
          <w:rFonts w:hint="eastAsia" w:ascii="宋体" w:hAnsi="宋体" w:cs="宋体"/>
          <w:b/>
          <w:bCs/>
          <w:sz w:val="28"/>
          <w:szCs w:val="28"/>
        </w:rPr>
        <w:t>的，其报价文件将被拒绝。</w:t>
      </w:r>
    </w:p>
    <w:p>
      <w:pPr>
        <w:pStyle w:val="4"/>
        <w:keepNext w:val="0"/>
        <w:keepLines w:val="0"/>
        <w:widowControl/>
        <w:suppressLineNumbers w:val="0"/>
        <w:shd w:val="clear" w:fill="FFFFFF"/>
        <w:spacing w:before="120" w:beforeAutospacing="0" w:after="60" w:afterAutospacing="0" w:line="18" w:lineRule="atLeast"/>
        <w:ind w:left="0" w:firstLine="562" w:firstLineChars="200"/>
        <w:rPr>
          <w:rFonts w:eastAsia="仿宋"/>
          <w:sz w:val="28"/>
          <w:szCs w:val="28"/>
          <w:highlight w:val="none"/>
        </w:rPr>
      </w:pPr>
      <w:r>
        <w:rPr>
          <w:rFonts w:hint="eastAsia" w:eastAsia="仿宋"/>
          <w:sz w:val="28"/>
          <w:szCs w:val="28"/>
          <w:highlight w:val="none"/>
        </w:rPr>
        <w:t>2</w:t>
      </w:r>
      <w:r>
        <w:rPr>
          <w:rFonts w:hint="eastAsia" w:ascii="Times New Roman" w:hAnsi="Times New Roman" w:eastAsia="仿宋" w:cs="Times New Roman"/>
          <w:b w:val="0"/>
          <w:bCs w:val="0"/>
          <w:kern w:val="2"/>
          <w:sz w:val="28"/>
          <w:szCs w:val="28"/>
          <w:highlight w:val="none"/>
          <w:lang w:val="en-US" w:eastAsia="zh-CN" w:bidi="ar-SA"/>
        </w:rPr>
        <w:t>、福建省高速公路养护工程有限公司发布的</w:t>
      </w:r>
      <w:r>
        <w:rPr>
          <w:rFonts w:hint="default" w:ascii="Times New Roman" w:hAnsi="Times New Roman" w:eastAsia="仿宋" w:cs="Times New Roman"/>
          <w:b w:val="0"/>
          <w:bCs w:val="0"/>
          <w:kern w:val="2"/>
          <w:sz w:val="28"/>
          <w:szCs w:val="28"/>
          <w:highlight w:val="none"/>
          <w:lang w:val="en-US" w:eastAsia="zh-CN" w:bidi="ar-SA"/>
        </w:rPr>
        <w:t>关于2022年度供应商信用考核结果的通报</w:t>
      </w:r>
      <w:r>
        <w:rPr>
          <w:rFonts w:hint="eastAsia" w:eastAsia="仿宋"/>
          <w:sz w:val="28"/>
          <w:szCs w:val="28"/>
          <w:highlight w:val="none"/>
        </w:rPr>
        <w:t>中</w:t>
      </w:r>
      <w:r>
        <w:rPr>
          <w:rFonts w:hint="eastAsia" w:eastAsia="仿宋"/>
          <w:sz w:val="28"/>
          <w:szCs w:val="28"/>
          <w:highlight w:val="none"/>
          <w:lang w:val="en-US" w:eastAsia="zh-CN"/>
        </w:rPr>
        <w:t>在相对应类别内</w:t>
      </w:r>
      <w:r>
        <w:rPr>
          <w:rFonts w:hint="eastAsia" w:eastAsia="仿宋"/>
          <w:sz w:val="28"/>
          <w:szCs w:val="28"/>
          <w:highlight w:val="none"/>
        </w:rPr>
        <w:t>被评为C、D级的企业，在有效期内不得参加报价。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3、与采购人存在利害关系可能影响采购公正性的单位，不得参加报价。单位负责人为同一人或存在控股、管理关系的不同单位（以上统称关联企业），不得对同一合同进行报价，否则其报价均无效。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4、在“信用中国”网站（http://www.creditchina.gov.cn/)中被列为失信被执行人的，不得参加报价。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5、本项目不接受联合体报价。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4月25日</w:t>
      </w:r>
      <w:r>
        <w:rPr>
          <w:rFonts w:hint="eastAsia" w:eastAsia="仿宋"/>
          <w:sz w:val="28"/>
          <w:szCs w:val="28"/>
          <w:highlight w:val="none"/>
        </w:rPr>
        <w:t>至2023年</w:t>
      </w:r>
      <w:r>
        <w:rPr>
          <w:rFonts w:hint="eastAsia" w:eastAsia="仿宋"/>
          <w:sz w:val="28"/>
          <w:szCs w:val="28"/>
          <w:highlight w:val="none"/>
          <w:lang w:val="en-US" w:eastAsia="zh-CN"/>
        </w:rPr>
        <w:t>5</w:t>
      </w:r>
      <w:r>
        <w:rPr>
          <w:rFonts w:hint="eastAsia" w:eastAsia="仿宋"/>
          <w:sz w:val="28"/>
          <w:szCs w:val="28"/>
          <w:highlight w:val="none"/>
        </w:rPr>
        <w:t>月</w:t>
      </w:r>
      <w:r>
        <w:rPr>
          <w:rFonts w:hint="eastAsia" w:eastAsia="仿宋"/>
          <w:sz w:val="28"/>
          <w:szCs w:val="28"/>
          <w:highlight w:val="none"/>
          <w:lang w:val="en-US" w:eastAsia="zh-CN"/>
        </w:rPr>
        <w:t>3</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5月4日15</w:t>
      </w:r>
      <w:r>
        <w:rPr>
          <w:rFonts w:hint="eastAsia" w:eastAsia="仿宋"/>
          <w:sz w:val="28"/>
          <w:szCs w:val="28"/>
          <w:highlight w:val="none"/>
        </w:rPr>
        <w:t>时</w:t>
      </w:r>
      <w:r>
        <w:rPr>
          <w:rFonts w:hint="eastAsia" w:eastAsia="仿宋"/>
          <w:sz w:val="28"/>
          <w:szCs w:val="28"/>
          <w:highlight w:val="none"/>
          <w:lang w:val="en-US" w:eastAsia="zh-CN"/>
        </w:rPr>
        <w:t>0</w:t>
      </w:r>
      <w:r>
        <w:rPr>
          <w:rFonts w:hint="eastAsia" w:eastAsia="仿宋"/>
          <w:sz w:val="28"/>
          <w:szCs w:val="28"/>
          <w:highlight w:val="none"/>
        </w:rPr>
        <w:t>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5月4日</w:t>
      </w:r>
      <w:r>
        <w:rPr>
          <w:rFonts w:hint="eastAsia" w:eastAsia="仿宋"/>
          <w:b/>
          <w:bCs/>
          <w:sz w:val="28"/>
          <w:szCs w:val="28"/>
          <w:highlight w:val="none"/>
        </w:rPr>
        <w:t>1</w:t>
      </w:r>
      <w:r>
        <w:rPr>
          <w:rFonts w:hint="eastAsia" w:eastAsia="仿宋"/>
          <w:b/>
          <w:bCs/>
          <w:sz w:val="28"/>
          <w:szCs w:val="28"/>
          <w:highlight w:val="none"/>
          <w:lang w:val="en-US" w:eastAsia="zh-CN"/>
        </w:rPr>
        <w:t>5</w:t>
      </w:r>
      <w:r>
        <w:rPr>
          <w:rFonts w:hint="eastAsia" w:eastAsia="仿宋"/>
          <w:b/>
          <w:bCs/>
          <w:sz w:val="28"/>
          <w:szCs w:val="28"/>
          <w:highlight w:val="none"/>
        </w:rPr>
        <w:t>时</w:t>
      </w:r>
      <w:r>
        <w:rPr>
          <w:rFonts w:hint="eastAsia" w:eastAsia="仿宋"/>
          <w:b/>
          <w:bCs/>
          <w:sz w:val="28"/>
          <w:szCs w:val="28"/>
          <w:highlight w:val="none"/>
          <w:lang w:val="en-US" w:eastAsia="zh-CN"/>
        </w:rPr>
        <w:t>0</w:t>
      </w:r>
      <w:r>
        <w:rPr>
          <w:rFonts w:hint="eastAsia" w:eastAsia="仿宋"/>
          <w:b/>
          <w:bCs/>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19"/>
          <w:rFonts w:hint="eastAsia" w:eastAsia="仿宋"/>
          <w:sz w:val="28"/>
          <w:szCs w:val="28"/>
          <w:highlight w:val="none"/>
        </w:rPr>
        <w:t>www.fjgsyh.com</w:t>
      </w:r>
      <w:r>
        <w:rPr>
          <w:rStyle w:val="19"/>
          <w:rFonts w:hint="eastAsia" w:eastAsia="仿宋"/>
          <w:color w:val="auto"/>
          <w:sz w:val="28"/>
          <w:szCs w:val="28"/>
          <w:highlight w:val="none"/>
          <w:u w:val="none"/>
        </w:rPr>
        <w:t>）</w:t>
      </w:r>
      <w:r>
        <w:rPr>
          <w:rStyle w:val="19"/>
          <w:rFonts w:eastAsia="仿宋"/>
          <w:color w:val="auto"/>
          <w:sz w:val="28"/>
          <w:szCs w:val="28"/>
          <w:highlight w:val="none"/>
          <w:u w:val="none"/>
        </w:rPr>
        <w:t>。</w:t>
      </w:r>
      <w:r>
        <w:rPr>
          <w:rStyle w:val="19"/>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壹</w:t>
      </w:r>
      <w:r>
        <w:rPr>
          <w:rFonts w:hint="eastAsia" w:eastAsia="仿宋"/>
          <w:sz w:val="28"/>
          <w:szCs w:val="28"/>
          <w:highlight w:val="none"/>
        </w:rPr>
        <w:t>万元整（¥</w:t>
      </w:r>
      <w:r>
        <w:rPr>
          <w:rFonts w:hint="eastAsia" w:eastAsia="仿宋"/>
          <w:sz w:val="28"/>
          <w:szCs w:val="28"/>
          <w:highlight w:val="none"/>
          <w:lang w:val="en-US" w:eastAsia="zh-CN"/>
        </w:rPr>
        <w:t>1</w:t>
      </w:r>
      <w:r>
        <w:rPr>
          <w:rFonts w:hint="eastAsia" w:eastAsia="仿宋"/>
          <w:sz w:val="28"/>
          <w:szCs w:val="28"/>
          <w:highlight w:val="none"/>
        </w:rPr>
        <w:t>0000元）。</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5</w:t>
      </w:r>
      <w:r>
        <w:rPr>
          <w:rFonts w:hint="eastAsia" w:eastAsia="仿宋"/>
          <w:sz w:val="28"/>
          <w:szCs w:val="28"/>
          <w:highlight w:val="none"/>
        </w:rPr>
        <w:t>月</w:t>
      </w:r>
      <w:r>
        <w:rPr>
          <w:rFonts w:hint="eastAsia" w:eastAsia="仿宋"/>
          <w:sz w:val="28"/>
          <w:szCs w:val="28"/>
          <w:highlight w:val="none"/>
          <w:lang w:val="en-US" w:eastAsia="zh-CN"/>
        </w:rPr>
        <w:t>3</w:t>
      </w:r>
      <w:r>
        <w:rPr>
          <w:rFonts w:hint="eastAsia" w:eastAsia="仿宋"/>
          <w:sz w:val="28"/>
          <w:szCs w:val="28"/>
          <w:highlight w:val="none"/>
        </w:rPr>
        <w:t>日17：00前缴交，转账备注“</w:t>
      </w:r>
      <w:r>
        <w:rPr>
          <w:rFonts w:hint="eastAsia" w:eastAsia="仿宋"/>
          <w:sz w:val="28"/>
          <w:szCs w:val="28"/>
          <w:highlight w:val="none"/>
          <w:lang w:eastAsia="zh-CN"/>
        </w:rPr>
        <w:t xml:space="preserve">XM2-2023-LW-006 </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hint="eastAsia" w:eastAsia="仿宋"/>
          <w:sz w:val="28"/>
          <w:szCs w:val="28"/>
          <w:highlight w:val="none"/>
          <w:lang w:eastAsia="zh-CN"/>
        </w:rPr>
        <w:t>福建省高速公路养护工程有限公司项目经理部二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bookmarkStart w:id="9" w:name="_GoBack"/>
      <w:bookmarkEnd w:id="9"/>
    </w:p>
    <w:p>
      <w:pPr>
        <w:spacing w:line="400" w:lineRule="exact"/>
        <w:ind w:firstLine="560" w:firstLineChars="200"/>
        <w:jc w:val="left"/>
        <w:rPr>
          <w:highlight w:val="none"/>
        </w:rPr>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福建省高速公路养护工程有限公司项目经理部二</w:t>
      </w:r>
    </w:p>
    <w:p>
      <w:pPr>
        <w:pStyle w:val="10"/>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both"/>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pStyle w:val="15"/>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6"/>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3"/>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福建省高速公路养护工程有限公司项目经理部二</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15"/>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龙岩老区苏区路高速公路绿化养护提升改造工程</w:t>
            </w:r>
            <w:r>
              <w:rPr>
                <w:rFonts w:hint="eastAsia" w:ascii="Times New Roman" w:hAnsi="Times New Roman"/>
                <w:color w:val="000000"/>
                <w:kern w:val="2"/>
                <w:sz w:val="24"/>
                <w:szCs w:val="24"/>
                <w:highlight w:val="none"/>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color w:val="000000"/>
                <w:sz w:val="24"/>
                <w:highlight w:val="none"/>
                <w:lang w:eastAsia="zh-CN"/>
              </w:rPr>
              <w:t>厦蓉高速龙长段</w:t>
            </w:r>
            <w:r>
              <w:rPr>
                <w:rFonts w:hint="eastAsia"/>
                <w:color w:val="000000"/>
                <w:sz w:val="24"/>
                <w:highlight w:val="none"/>
              </w:rPr>
              <w:t>沿线。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30个日历天。</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具体以采购人通知的实际进场时间以及工程实际完工时间为准。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300" w:lineRule="exact"/>
              <w:rPr>
                <w:rFonts w:hint="eastAsia"/>
                <w:b/>
                <w:color w:val="000000"/>
                <w:sz w:val="24"/>
                <w:highlight w:val="none"/>
              </w:rPr>
            </w:pPr>
            <w:r>
              <w:rPr>
                <w:b/>
                <w:color w:val="000000"/>
                <w:sz w:val="24"/>
                <w:highlight w:val="none"/>
              </w:rPr>
              <w:t>本采购采用一次性报价。</w:t>
            </w:r>
            <w:r>
              <w:rPr>
                <w:rFonts w:hint="eastAsia"/>
                <w:b/>
                <w:color w:val="000000"/>
                <w:sz w:val="24"/>
                <w:highlight w:val="none"/>
              </w:rPr>
              <w:t>报价人可以对两个合同包进行分别报价，也可对单个合同包进行报价，但最多只能中一个合同包，同一合同包不应有两个报价，否则报价文件将被否决。</w:t>
            </w:r>
          </w:p>
          <w:p>
            <w:pPr>
              <w:spacing w:line="300" w:lineRule="exact"/>
              <w:rPr>
                <w:color w:val="000000"/>
                <w:sz w:val="24"/>
                <w:highlight w:val="none"/>
              </w:rPr>
            </w:pPr>
            <w:r>
              <w:rPr>
                <w:b/>
                <w:bCs/>
                <w:color w:val="000000"/>
                <w:sz w:val="24"/>
                <w:highlight w:val="none"/>
              </w:rPr>
              <w:t>本项目最高控制价</w:t>
            </w:r>
            <w:r>
              <w:rPr>
                <w:rFonts w:hint="eastAsia"/>
                <w:b/>
                <w:bCs/>
                <w:color w:val="000000"/>
                <w:sz w:val="24"/>
                <w:highlight w:val="none"/>
              </w:rPr>
              <w:t>（含9%税）为</w:t>
            </w:r>
            <w:r>
              <w:rPr>
                <w:rFonts w:hint="eastAsia"/>
                <w:b/>
                <w:bCs/>
                <w:color w:val="000000"/>
                <w:sz w:val="24"/>
                <w:highlight w:val="none"/>
                <w:u w:val="single"/>
              </w:rPr>
              <w:t>：</w:t>
            </w:r>
            <w:r>
              <w:rPr>
                <w:rFonts w:hint="eastAsia" w:cs="Times New Roman"/>
                <w:i w:val="0"/>
                <w:iCs w:val="0"/>
                <w:color w:val="000000"/>
                <w:kern w:val="0"/>
                <w:sz w:val="24"/>
                <w:szCs w:val="24"/>
                <w:u w:val="single"/>
                <w:lang w:val="en-US" w:eastAsia="zh-CN" w:bidi="ar"/>
              </w:rPr>
              <w:t>1988862</w:t>
            </w:r>
            <w:r>
              <w:rPr>
                <w:rFonts w:hint="eastAsia"/>
                <w:b/>
                <w:bCs/>
                <w:color w:val="000000"/>
                <w:sz w:val="24"/>
                <w:highlight w:val="none"/>
                <w:u w:val="single"/>
              </w:rPr>
              <w:t>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yellow"/>
                <w:lang w:val="en-US" w:eastAsia="zh-CN"/>
              </w:rPr>
              <w:t>施工组织设计文件</w:t>
            </w:r>
            <w:r>
              <w:rPr>
                <w:rFonts w:hint="eastAsia"/>
                <w:sz w:val="24"/>
              </w:rPr>
              <w:t>、</w:t>
            </w:r>
            <w:r>
              <w:rPr>
                <w:sz w:val="24"/>
              </w:rPr>
              <w:t>⑥报价保证金交纳证明</w:t>
            </w:r>
            <w:r>
              <w:rPr>
                <w:rFonts w:hint="eastAsia"/>
                <w:sz w:val="24"/>
              </w:rPr>
              <w:t>、⑦退还谈判保证金承诺书。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龙岩老区苏区路高速公路绿化养护提升改造工程</w:t>
            </w:r>
            <w:r>
              <w:rPr>
                <w:rFonts w:hint="eastAsia" w:ascii="宋体" w:hAnsi="宋体" w:eastAsia="宋体" w:cs="宋体"/>
                <w:b w:val="0"/>
                <w:bCs w:val="0"/>
                <w:color w:val="000000"/>
                <w:sz w:val="24"/>
                <w:szCs w:val="24"/>
                <w:highlight w:val="none"/>
                <w:lang w:val="en-US" w:eastAsia="zh-CN"/>
              </w:rPr>
              <w:t>施工组织设计文件”，字体统一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福建省高速公路养护工程有限公司项目经理部二</w:t>
            </w:r>
          </w:p>
          <w:p>
            <w:pPr>
              <w:rPr>
                <w:rFonts w:ascii="宋体" w:hAnsi="宋体" w:cs="宋体"/>
                <w:color w:val="000000"/>
                <w:sz w:val="24"/>
                <w:highlight w:val="none"/>
              </w:rPr>
            </w:pPr>
            <w:r>
              <w:rPr>
                <w:rFonts w:hint="eastAsia" w:ascii="宋体" w:hAnsi="宋体" w:cs="宋体"/>
                <w:color w:val="000000"/>
                <w:sz w:val="24"/>
                <w:highlight w:val="none"/>
              </w:rPr>
              <w:t>合同包：1。</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5月4日</w:t>
            </w:r>
            <w:r>
              <w:rPr>
                <w:rFonts w:hint="eastAsia" w:ascii="宋体" w:hAnsi="宋体" w:cs="宋体"/>
                <w:color w:val="000000"/>
                <w:sz w:val="24"/>
                <w:highlight w:val="none"/>
                <w:u w:val="single"/>
              </w:rPr>
              <w:t>1</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时</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b/>
                <w:color w:val="000000"/>
                <w:sz w:val="24"/>
                <w:highlight w:val="none"/>
              </w:rPr>
              <w:t>质保</w:t>
            </w:r>
            <w:r>
              <w:rPr>
                <w:b/>
                <w:color w:val="000000"/>
                <w:sz w:val="24"/>
                <w:highlight w:val="none"/>
              </w:rPr>
              <w:t>期：</w:t>
            </w:r>
            <w:r>
              <w:rPr>
                <w:rFonts w:hint="eastAsia"/>
                <w:b/>
                <w:color w:val="000000"/>
                <w:sz w:val="24"/>
                <w:highlight w:val="none"/>
              </w:rPr>
              <w:t>本项目质保期为</w:t>
            </w:r>
            <w:r>
              <w:rPr>
                <w:rFonts w:hint="eastAsia"/>
                <w:b/>
                <w:color w:val="000000"/>
                <w:sz w:val="24"/>
                <w:highlight w:val="none"/>
                <w:lang w:val="en-US" w:eastAsia="zh-CN"/>
              </w:rPr>
              <w:t>36</w:t>
            </w:r>
            <w:r>
              <w:rPr>
                <w:rFonts w:hint="eastAsia"/>
                <w:b/>
                <w:color w:val="000000"/>
                <w:sz w:val="24"/>
                <w:highlight w:val="none"/>
              </w:rPr>
              <w:t>个月，自工程</w:t>
            </w:r>
            <w:r>
              <w:rPr>
                <w:rFonts w:hint="eastAsia"/>
                <w:b/>
                <w:color w:val="000000"/>
                <w:sz w:val="24"/>
                <w:highlight w:val="none"/>
                <w:lang w:val="en-US" w:eastAsia="zh-CN"/>
              </w:rPr>
              <w:t>交工验收合格</w:t>
            </w:r>
            <w:r>
              <w:rPr>
                <w:rFonts w:hint="eastAsia"/>
                <w:b/>
                <w:color w:val="000000"/>
                <w:sz w:val="24"/>
                <w:highlight w:val="none"/>
              </w:rPr>
              <w:t>后起算。质保期内，因成交人施工质量问题导致的路面病害，成交人承担保修责任。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5</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结算支付</w:t>
            </w:r>
          </w:p>
          <w:p>
            <w:pPr>
              <w:spacing w:line="300" w:lineRule="exact"/>
              <w:rPr>
                <w:rFonts w:hint="eastAsia" w:eastAsia="宋体"/>
                <w:b/>
                <w:color w:val="000000"/>
                <w:sz w:val="24"/>
                <w:highlight w:val="none"/>
              </w:rPr>
            </w:pPr>
            <w:r>
              <w:rPr>
                <w:rFonts w:hint="eastAsia" w:eastAsia="宋体"/>
                <w:b/>
                <w:color w:val="000000"/>
                <w:sz w:val="24"/>
                <w:highlight w:val="none"/>
              </w:rPr>
              <w:t>1.待工程项目验收合格后，</w:t>
            </w:r>
            <w:r>
              <w:rPr>
                <w:rFonts w:hint="eastAsia" w:eastAsia="宋体"/>
                <w:b/>
                <w:color w:val="000000"/>
                <w:sz w:val="24"/>
                <w:highlight w:val="none"/>
                <w:lang w:val="en-US" w:eastAsia="zh-CN"/>
              </w:rPr>
              <w:t>进行一次性结算，</w:t>
            </w:r>
            <w:r>
              <w:rPr>
                <w:rFonts w:hint="eastAsia" w:eastAsia="宋体"/>
                <w:b/>
                <w:color w:val="000000"/>
                <w:sz w:val="24"/>
                <w:highlight w:val="none"/>
              </w:rPr>
              <w:t>成交人提出工程最终结算并将有关资料送交采购人。采购人自接到上述资料应及时进行审核，双方按最终结算扣除质量保证金后</w:t>
            </w:r>
            <w:r>
              <w:rPr>
                <w:rFonts w:hint="eastAsia" w:eastAsia="宋体"/>
                <w:b/>
                <w:color w:val="000000"/>
                <w:sz w:val="24"/>
                <w:highlight w:val="none"/>
                <w:lang w:val="en-US" w:eastAsia="zh-CN"/>
              </w:rPr>
              <w:t>支付工程</w:t>
            </w:r>
            <w:r>
              <w:rPr>
                <w:rFonts w:hint="eastAsia" w:eastAsia="宋体"/>
                <w:b/>
                <w:color w:val="000000"/>
                <w:sz w:val="24"/>
                <w:highlight w:val="none"/>
              </w:rPr>
              <w:t>款。</w:t>
            </w:r>
          </w:p>
          <w:p>
            <w:pPr>
              <w:spacing w:line="300" w:lineRule="exact"/>
              <w:rPr>
                <w:rFonts w:hint="eastAsia" w:eastAsia="宋体"/>
                <w:b/>
                <w:color w:val="000000"/>
                <w:sz w:val="24"/>
                <w:highlight w:val="none"/>
              </w:rPr>
            </w:pPr>
            <w:r>
              <w:rPr>
                <w:rFonts w:hint="eastAsia" w:eastAsia="宋体"/>
                <w:b/>
                <w:color w:val="000000"/>
                <w:sz w:val="24"/>
                <w:highlight w:val="none"/>
              </w:rPr>
              <w:t>2.本项目缺陷责任期为壹年，缺陷责任期内若成交人未尽施工责任，采购人有权委托其他单位进行处理，成交人应无条件接受采购人所委托的价款并承担一切费用。</w:t>
            </w:r>
          </w:p>
          <w:p>
            <w:pPr>
              <w:spacing w:line="300" w:lineRule="exact"/>
              <w:rPr>
                <w:b/>
                <w:color w:val="000000"/>
                <w:sz w:val="24"/>
                <w:highlight w:val="none"/>
              </w:rPr>
            </w:pPr>
            <w:r>
              <w:rPr>
                <w:rFonts w:hint="eastAsia" w:eastAsia="宋体"/>
                <w:b/>
                <w:color w:val="000000"/>
                <w:sz w:val="24"/>
                <w:highlight w:val="none"/>
              </w:rPr>
              <w:t>3.根据双方签认的结算价款，成交人应提供正式的可抵扣的增值税专用发票，采购人收到成交人开具的正规增值税专用发票后，采购人采用银行转账的方式支付给成交人。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4"/>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spacing w:line="300" w:lineRule="exact"/>
              <w:rPr>
                <w:b/>
                <w:color w:val="000000"/>
                <w:sz w:val="24"/>
                <w:highlight w:val="none"/>
              </w:rPr>
            </w:pPr>
            <w:r>
              <w:rPr>
                <w:rFonts w:hint="eastAsia"/>
                <w:b/>
                <w:color w:val="000000"/>
                <w:sz w:val="24"/>
                <w:highlight w:val="none"/>
              </w:rPr>
              <w:t>1.</w:t>
            </w:r>
            <w:r>
              <w:rPr>
                <w:b/>
                <w:color w:val="000000"/>
                <w:sz w:val="24"/>
                <w:highlight w:val="none"/>
              </w:rPr>
              <w:t>采购人提供材料：</w:t>
            </w:r>
            <w:r>
              <w:rPr>
                <w:rFonts w:hint="eastAsia"/>
                <w:b/>
                <w:color w:val="000000"/>
                <w:sz w:val="24"/>
                <w:highlight w:val="none"/>
              </w:rPr>
              <w:t>无。</w:t>
            </w:r>
          </w:p>
          <w:p>
            <w:pPr>
              <w:spacing w:line="300" w:lineRule="exact"/>
              <w:rPr>
                <w:b/>
                <w:color w:val="000000"/>
                <w:sz w:val="24"/>
                <w:highlight w:val="none"/>
              </w:rPr>
            </w:pPr>
            <w:r>
              <w:rPr>
                <w:rFonts w:hint="eastAsia"/>
                <w:b/>
                <w:color w:val="000000"/>
                <w:sz w:val="24"/>
                <w:highlight w:val="none"/>
              </w:rPr>
              <w:t>2.成交人提供材料：材料均由成交人提供，所提供材料必须为合格的产品</w:t>
            </w:r>
            <w:r>
              <w:rPr>
                <w:rFonts w:hint="eastAsia"/>
                <w:b/>
                <w:color w:val="000000"/>
                <w:sz w:val="24"/>
                <w:highlight w:val="none"/>
                <w:lang w:val="en-US" w:eastAsia="zh-CN"/>
              </w:rPr>
              <w:t>并满足设计文件要求。</w:t>
            </w:r>
            <w:r>
              <w:rPr>
                <w:rFonts w:hint="eastAsia"/>
                <w:b/>
                <w:color w:val="000000"/>
                <w:sz w:val="24"/>
                <w:highlight w:val="none"/>
              </w:rPr>
              <w:t>采购人有权按相关试验检测规范对成交人提供材料进行检测，因材料不合格所带来的一切后果均由成交人承担。</w:t>
            </w:r>
          </w:p>
          <w:p>
            <w:pPr>
              <w:spacing w:line="300" w:lineRule="exact"/>
              <w:rPr>
                <w:b/>
                <w:color w:val="000000"/>
                <w:sz w:val="24"/>
                <w:highlight w:val="none"/>
              </w:rPr>
            </w:pPr>
            <w:r>
              <w:rPr>
                <w:rFonts w:hint="eastAsia"/>
                <w:b/>
                <w:color w:val="000000"/>
                <w:sz w:val="24"/>
                <w:highlight w:val="none"/>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15"/>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6"/>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Style w:val="26"/>
                <w:rFonts w:hint="default"/>
                <w:sz w:val="20"/>
                <w:szCs w:val="20"/>
                <w:highlight w:val="none"/>
              </w:rPr>
              <w:t>、不服从业主、监理和项目技术人员管理，扣</w:t>
            </w:r>
            <w:r>
              <w:rPr>
                <w:rStyle w:val="24"/>
                <w:sz w:val="20"/>
                <w:szCs w:val="20"/>
                <w:highlight w:val="none"/>
              </w:rPr>
              <w:t>1</w:t>
            </w:r>
            <w:r>
              <w:rPr>
                <w:rStyle w:val="26"/>
                <w:rFonts w:hint="default"/>
                <w:sz w:val="20"/>
                <w:szCs w:val="20"/>
                <w:highlight w:val="none"/>
              </w:rPr>
              <w:t>分</w:t>
            </w:r>
            <w:r>
              <w:rPr>
                <w:rStyle w:val="24"/>
                <w:sz w:val="20"/>
                <w:szCs w:val="20"/>
                <w:highlight w:val="none"/>
              </w:rPr>
              <w:t>/</w:t>
            </w:r>
            <w:r>
              <w:rPr>
                <w:rStyle w:val="26"/>
                <w:rFonts w:hint="default"/>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4"/>
                <w:sz w:val="20"/>
                <w:szCs w:val="20"/>
                <w:highlight w:val="none"/>
              </w:rPr>
              <w:t>2</w:t>
            </w:r>
            <w:r>
              <w:rPr>
                <w:rStyle w:val="25"/>
                <w:rFonts w:hint="default"/>
                <w:sz w:val="20"/>
                <w:szCs w:val="20"/>
                <w:highlight w:val="none"/>
              </w:rPr>
              <w:t>、现场施工场地不规范，不满足文明施工要求，扣</w:t>
            </w:r>
            <w:r>
              <w:rPr>
                <w:rStyle w:val="24"/>
                <w:sz w:val="20"/>
                <w:szCs w:val="20"/>
                <w:highlight w:val="none"/>
              </w:rPr>
              <w:t>1</w:t>
            </w:r>
            <w:r>
              <w:rPr>
                <w:rStyle w:val="25"/>
                <w:rFonts w:hint="default"/>
                <w:sz w:val="20"/>
                <w:szCs w:val="20"/>
                <w:highlight w:val="none"/>
              </w:rPr>
              <w:t>分</w:t>
            </w:r>
            <w:r>
              <w:rPr>
                <w:rStyle w:val="24"/>
                <w:sz w:val="20"/>
                <w:szCs w:val="20"/>
                <w:highlight w:val="none"/>
              </w:rPr>
              <w:t>/</w:t>
            </w:r>
            <w:r>
              <w:rPr>
                <w:rStyle w:val="25"/>
                <w:rFonts w:hint="default"/>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4"/>
                <w:sz w:val="20"/>
                <w:szCs w:val="20"/>
                <w:highlight w:val="none"/>
              </w:rPr>
              <w:t>3</w:t>
            </w:r>
            <w:r>
              <w:rPr>
                <w:rStyle w:val="25"/>
                <w:rFonts w:hint="default"/>
                <w:sz w:val="20"/>
                <w:szCs w:val="20"/>
                <w:highlight w:val="none"/>
              </w:rPr>
              <w:t>、不配合项目部召开会议、培训等管理工作，扣</w:t>
            </w:r>
            <w:r>
              <w:rPr>
                <w:rStyle w:val="24"/>
                <w:sz w:val="20"/>
                <w:szCs w:val="20"/>
                <w:highlight w:val="none"/>
              </w:rPr>
              <w:t>2</w:t>
            </w:r>
            <w:r>
              <w:rPr>
                <w:rStyle w:val="25"/>
                <w:rFonts w:hint="default"/>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、分包人应遵守养护公司出台的《高速公路安全布控标准化指南》规定，保障施工安全，如果发现违反相关规定每次扣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 xml:space="preserve"> 2</w:t>
            </w:r>
            <w:r>
              <w:rPr>
                <w:rFonts w:hint="eastAsia" w:ascii="宋体" w:hAnsi="宋体" w:cs="宋体"/>
                <w:color w:val="000000"/>
                <w:kern w:val="0"/>
                <w:sz w:val="20"/>
                <w:szCs w:val="20"/>
                <w:highlight w:val="none"/>
              </w:rPr>
              <w:t>、特种工作人员，无证上岗的，每人扣</w:t>
            </w:r>
            <w:r>
              <w:rPr>
                <w:color w:val="000000"/>
                <w:kern w:val="0"/>
                <w:sz w:val="20"/>
                <w:szCs w:val="20"/>
                <w:highlight w:val="none"/>
              </w:rPr>
              <w:t>2</w:t>
            </w:r>
            <w:r>
              <w:rPr>
                <w:rFonts w:hint="eastAsia" w:ascii="宋体" w:hAnsi="宋体" w:cs="宋体"/>
                <w:color w:val="000000"/>
                <w:kern w:val="0"/>
                <w:sz w:val="20"/>
                <w:szCs w:val="20"/>
                <w:highlight w:val="none"/>
              </w:rPr>
              <w:t>分，并责令更换无证人员。</w:t>
            </w:r>
            <w:r>
              <w:rPr>
                <w:color w:val="000000"/>
                <w:kern w:val="0"/>
                <w:sz w:val="20"/>
                <w:szCs w:val="20"/>
                <w:highlight w:val="none"/>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、分包单位人员有如下情况之一者，每人每次扣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违章指挥，强令施工人员违章作业者。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不遵守安全生产技术操作规程，擅离职守者。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违反劳动纪律，不坚守工作岗位，擅离职守者。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发现事故隐患苗头，末采取积极有效措施及时整改者。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采购安全生产用品不符合使用质量要求者。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无证驾驶、酒后开车，疲劳驾驶机车者。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9)</w:t>
            </w:r>
            <w:r>
              <w:rPr>
                <w:rFonts w:hint="eastAsia" w:ascii="宋体" w:hAnsi="宋体" w:cs="宋体"/>
                <w:color w:val="000000"/>
                <w:kern w:val="0"/>
                <w:sz w:val="20"/>
                <w:szCs w:val="20"/>
                <w:highlight w:val="none"/>
              </w:rPr>
              <w:t>上路未配带安全防护器</w:t>
            </w:r>
            <w:r>
              <w:rPr>
                <w:color w:val="000000"/>
                <w:kern w:val="0"/>
                <w:sz w:val="20"/>
                <w:szCs w:val="20"/>
                <w:highlight w:val="none"/>
              </w:rPr>
              <w:t>(</w:t>
            </w:r>
            <w:r>
              <w:rPr>
                <w:rFonts w:hint="eastAsia" w:ascii="宋体" w:hAnsi="宋体" w:cs="宋体"/>
                <w:color w:val="000000"/>
                <w:kern w:val="0"/>
                <w:sz w:val="20"/>
                <w:szCs w:val="20"/>
                <w:highlight w:val="none"/>
              </w:rPr>
              <w:t>包括安全标志服</w:t>
            </w:r>
            <w:r>
              <w:rPr>
                <w:color w:val="000000"/>
                <w:kern w:val="0"/>
                <w:sz w:val="20"/>
                <w:szCs w:val="20"/>
                <w:highlight w:val="none"/>
              </w:rPr>
              <w:t>\</w:t>
            </w:r>
            <w:r>
              <w:rPr>
                <w:rFonts w:hint="eastAsia" w:ascii="宋体" w:hAnsi="宋体" w:cs="宋体"/>
                <w:color w:val="000000"/>
                <w:kern w:val="0"/>
                <w:sz w:val="20"/>
                <w:szCs w:val="20"/>
                <w:highlight w:val="none"/>
              </w:rPr>
              <w:t>反光背心等</w:t>
            </w:r>
            <w:r>
              <w:rPr>
                <w:color w:val="000000"/>
                <w:kern w:val="0"/>
                <w:sz w:val="20"/>
                <w:szCs w:val="20"/>
                <w:highlight w:val="none"/>
              </w:rPr>
              <w:t>)</w:t>
            </w:r>
            <w:r>
              <w:rPr>
                <w:rFonts w:hint="eastAsia" w:ascii="宋体" w:hAnsi="宋体" w:cs="宋体"/>
                <w:color w:val="000000"/>
                <w:kern w:val="0"/>
                <w:sz w:val="20"/>
                <w:szCs w:val="20"/>
                <w:highlight w:val="none"/>
              </w:rPr>
              <w:t>具者。专业分包单位有如下情况之一者，每人每次扣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）未进行安全培训教育的。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）未与各班组签订安全责任书的。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）未召开安全生产例会的。</w:t>
            </w:r>
          </w:p>
          <w:p>
            <w:pPr>
              <w:widowControl/>
              <w:jc w:val="left"/>
              <w:textAlignment w:val="center"/>
              <w:rPr>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）未按规定进行安全生产检查，落实安全责任制的。</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）施工现场</w:t>
            </w:r>
            <w:r>
              <w:rPr>
                <w:color w:val="000000"/>
                <w:kern w:val="0"/>
                <w:sz w:val="20"/>
                <w:szCs w:val="20"/>
                <w:highlight w:val="none"/>
              </w:rPr>
              <w:t>(</w:t>
            </w:r>
            <w:r>
              <w:rPr>
                <w:rFonts w:hint="eastAsia" w:ascii="宋体" w:hAnsi="宋体" w:cs="宋体"/>
                <w:color w:val="000000"/>
                <w:kern w:val="0"/>
                <w:sz w:val="20"/>
                <w:szCs w:val="20"/>
                <w:highlight w:val="none"/>
              </w:rPr>
              <w:t>交叉路口</w:t>
            </w:r>
            <w:r>
              <w:rPr>
                <w:color w:val="000000"/>
                <w:kern w:val="0"/>
                <w:sz w:val="20"/>
                <w:szCs w:val="20"/>
                <w:highlight w:val="none"/>
              </w:rPr>
              <w:t>)</w:t>
            </w:r>
            <w:r>
              <w:rPr>
                <w:rFonts w:hint="eastAsia" w:ascii="宋体" w:hAnsi="宋体" w:cs="宋体"/>
                <w:color w:val="000000"/>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、如发现打架、闹事、偷盗、吸毒的人员，每次扣</w:t>
            </w:r>
            <w:r>
              <w:rPr>
                <w:color w:val="000000"/>
                <w:kern w:val="0"/>
                <w:sz w:val="20"/>
                <w:szCs w:val="20"/>
                <w:highlight w:val="none"/>
              </w:rPr>
              <w:t>5</w:t>
            </w:r>
            <w:r>
              <w:rPr>
                <w:rFonts w:hint="eastAsia" w:ascii="宋体" w:hAnsi="宋体" w:cs="宋体"/>
                <w:color w:val="000000"/>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、机械设备停放、材料堆放不符合规定每次扣</w:t>
            </w:r>
            <w:r>
              <w:rPr>
                <w:color w:val="000000"/>
                <w:kern w:val="0"/>
                <w:sz w:val="20"/>
                <w:szCs w:val="20"/>
                <w:highlight w:val="none"/>
              </w:rPr>
              <w:t>1</w:t>
            </w:r>
            <w:r>
              <w:rPr>
                <w:rFonts w:hint="eastAsia" w:ascii="宋体" w:hAnsi="宋体" w:cs="宋体"/>
                <w:color w:val="000000"/>
                <w:kern w:val="0"/>
                <w:sz w:val="20"/>
                <w:szCs w:val="20"/>
                <w:highlight w:val="none"/>
              </w:rPr>
              <w:t>分、垃圾清理未及时清理</w:t>
            </w:r>
            <w:r>
              <w:rPr>
                <w:color w:val="000000"/>
                <w:kern w:val="0"/>
                <w:sz w:val="20"/>
                <w:szCs w:val="20"/>
                <w:highlight w:val="none"/>
              </w:rPr>
              <w:t>1</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分，乱丢乱弃垃圾垃圾每次扣</w:t>
            </w:r>
            <w:r>
              <w:rPr>
                <w:color w:val="000000"/>
                <w:kern w:val="0"/>
                <w:sz w:val="20"/>
                <w:szCs w:val="20"/>
                <w:highlight w:val="none"/>
              </w:rPr>
              <w:t>1</w:t>
            </w:r>
            <w:r>
              <w:rPr>
                <w:rFonts w:hint="eastAsia" w:ascii="宋体" w:hAnsi="宋体" w:cs="宋体"/>
                <w:color w:val="000000"/>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rPr>
              <w:t>3</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rPr>
              <w:t>5</w:t>
            </w:r>
            <w:r>
              <w:rPr>
                <w:rFonts w:hint="eastAsia" w:ascii="宋体" w:hAnsi="宋体" w:cs="宋体"/>
                <w:color w:val="000000"/>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、由于班组自身原因发生安全事故，本表得分为</w:t>
            </w:r>
            <w:r>
              <w:rPr>
                <w:color w:val="000000"/>
                <w:kern w:val="0"/>
                <w:sz w:val="20"/>
                <w:szCs w:val="20"/>
                <w:highlight w:val="none"/>
              </w:rPr>
              <w:t>0</w:t>
            </w:r>
            <w:r>
              <w:rPr>
                <w:rFonts w:hint="eastAsia" w:ascii="宋体" w:hAnsi="宋体" w:cs="宋体"/>
                <w:color w:val="000000"/>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、分包人未办理人身意外保险的，除责令限期办理外，扣</w:t>
            </w:r>
            <w:r>
              <w:rPr>
                <w:color w:val="000000"/>
                <w:kern w:val="0"/>
                <w:sz w:val="20"/>
                <w:szCs w:val="20"/>
                <w:highlight w:val="none"/>
              </w:rPr>
              <w:t>3</w:t>
            </w:r>
            <w:r>
              <w:rPr>
                <w:rFonts w:hint="eastAsia" w:ascii="宋体" w:hAnsi="宋体" w:cs="宋体"/>
                <w:color w:val="000000"/>
                <w:kern w:val="0"/>
                <w:sz w:val="20"/>
                <w:szCs w:val="20"/>
                <w:highlight w:val="none"/>
              </w:rPr>
              <w:t>分。逾期不办理，由总包方强制代为办理，费用从正常支付款项中扣回，并处以同等金额的违约金，并扣</w:t>
            </w:r>
            <w:r>
              <w:rPr>
                <w:color w:val="000000"/>
                <w:kern w:val="0"/>
                <w:sz w:val="20"/>
                <w:szCs w:val="20"/>
                <w:highlight w:val="none"/>
              </w:rPr>
              <w:t>5</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、分包人应遵守养护公司出台的《沥青路面养护工程施工标准化指南》进行施工，保障施工质量，如果发现违反相关规定每次扣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rPr>
              <w:t>2</w:t>
            </w:r>
            <w:r>
              <w:rPr>
                <w:rFonts w:hint="eastAsia" w:ascii="宋体" w:hAnsi="宋体" w:cs="宋体"/>
                <w:color w:val="000000"/>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rPr>
              <w:t>24</w:t>
            </w:r>
            <w:r>
              <w:rPr>
                <w:rFonts w:hint="eastAsia" w:ascii="宋体" w:hAnsi="宋体" w:cs="宋体"/>
                <w:color w:val="000000"/>
                <w:kern w:val="0"/>
                <w:sz w:val="20"/>
                <w:szCs w:val="20"/>
                <w:highlight w:val="none"/>
              </w:rPr>
              <w:t>小时以内清除场外。若发现分包人使用不合格材料、未经检测材料或无进场纪录的原材料，除要求在规定期限内返工外，每处每次扣</w:t>
            </w:r>
            <w:r>
              <w:rPr>
                <w:color w:val="000000"/>
                <w:kern w:val="0"/>
                <w:sz w:val="20"/>
                <w:szCs w:val="20"/>
                <w:highlight w:val="none"/>
              </w:rPr>
              <w:t>5</w:t>
            </w:r>
            <w:r>
              <w:rPr>
                <w:rFonts w:hint="eastAsia" w:ascii="宋体" w:hAnsi="宋体" w:cs="宋体"/>
                <w:color w:val="000000"/>
                <w:kern w:val="0"/>
                <w:sz w:val="20"/>
                <w:szCs w:val="20"/>
                <w:highlight w:val="none"/>
              </w:rPr>
              <w:t>分；已运进的不合格材料经检查发现后，超过</w:t>
            </w:r>
            <w:r>
              <w:rPr>
                <w:color w:val="000000"/>
                <w:kern w:val="0"/>
                <w:sz w:val="20"/>
                <w:szCs w:val="20"/>
                <w:highlight w:val="none"/>
              </w:rPr>
              <w:t>24</w:t>
            </w:r>
            <w:r>
              <w:rPr>
                <w:rFonts w:hint="eastAsia" w:ascii="宋体" w:hAnsi="宋体" w:cs="宋体"/>
                <w:color w:val="000000"/>
                <w:kern w:val="0"/>
                <w:sz w:val="20"/>
                <w:szCs w:val="20"/>
                <w:highlight w:val="none"/>
              </w:rPr>
              <w:t>小时仍未清除的，一经查实，每处每次扣</w:t>
            </w:r>
            <w:r>
              <w:rPr>
                <w:color w:val="000000"/>
                <w:kern w:val="0"/>
                <w:sz w:val="20"/>
                <w:szCs w:val="20"/>
                <w:highlight w:val="none"/>
              </w:rPr>
              <w:t>10</w:t>
            </w:r>
            <w:r>
              <w:rPr>
                <w:rFonts w:hint="eastAsia" w:ascii="宋体" w:hAnsi="宋体" w:cs="宋体"/>
                <w:color w:val="000000"/>
                <w:kern w:val="0"/>
                <w:sz w:val="20"/>
                <w:szCs w:val="20"/>
                <w:highlight w:val="none"/>
              </w:rPr>
              <w:t>分。各类原材料应分类堆码整齐，堆放砼施工材料</w:t>
            </w:r>
            <w:r>
              <w:rPr>
                <w:color w:val="000000"/>
                <w:kern w:val="0"/>
                <w:sz w:val="20"/>
                <w:szCs w:val="20"/>
                <w:highlight w:val="none"/>
              </w:rPr>
              <w:t>(</w:t>
            </w:r>
            <w:r>
              <w:rPr>
                <w:rFonts w:hint="eastAsia" w:ascii="宋体" w:hAnsi="宋体" w:cs="宋体"/>
                <w:color w:val="000000"/>
                <w:kern w:val="0"/>
                <w:sz w:val="20"/>
                <w:szCs w:val="20"/>
                <w:highlight w:val="none"/>
              </w:rPr>
              <w:t>水泥、砂、碎石</w:t>
            </w:r>
            <w:r>
              <w:rPr>
                <w:color w:val="000000"/>
                <w:kern w:val="0"/>
                <w:sz w:val="20"/>
                <w:szCs w:val="20"/>
                <w:highlight w:val="none"/>
              </w:rPr>
              <w:t>)</w:t>
            </w:r>
            <w:r>
              <w:rPr>
                <w:rFonts w:hint="eastAsia" w:ascii="宋体" w:hAnsi="宋体" w:cs="宋体"/>
                <w:color w:val="000000"/>
                <w:kern w:val="0"/>
                <w:sz w:val="20"/>
                <w:szCs w:val="20"/>
                <w:highlight w:val="none"/>
              </w:rPr>
              <w:t>的场地必须硬化，钢材、水泥必须入库，不得露天堆放，否则每处每次扣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每个施工现场必须有管理人员（带班人员）在场把关，每缺</w:t>
            </w:r>
            <w:r>
              <w:rPr>
                <w:color w:val="000000"/>
                <w:kern w:val="0"/>
                <w:sz w:val="20"/>
                <w:szCs w:val="20"/>
                <w:highlight w:val="none"/>
              </w:rPr>
              <w:t>1</w:t>
            </w:r>
            <w:r>
              <w:rPr>
                <w:rFonts w:hint="eastAsia" w:ascii="宋体" w:hAnsi="宋体" w:cs="宋体"/>
                <w:color w:val="000000"/>
                <w:kern w:val="0"/>
                <w:sz w:val="20"/>
                <w:szCs w:val="20"/>
                <w:highlight w:val="none"/>
              </w:rPr>
              <w:t>人</w:t>
            </w:r>
            <w:r>
              <w:rPr>
                <w:color w:val="000000"/>
                <w:kern w:val="0"/>
                <w:sz w:val="20"/>
                <w:szCs w:val="20"/>
                <w:highlight w:val="none"/>
              </w:rPr>
              <w:t>.</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、分包人必须认真严谨的编制施工组织计划，并按规定时间上报与工程进度有关的资料，延误提交或发生严重错误的，每次扣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、分包人应按照要求报送车辆及设备资料，以便办理上路作业相关手续，每延迟</w:t>
            </w:r>
            <w:r>
              <w:rPr>
                <w:color w:val="000000"/>
                <w:kern w:val="0"/>
                <w:sz w:val="20"/>
                <w:szCs w:val="20"/>
                <w:highlight w:val="none"/>
              </w:rPr>
              <w:t>1</w:t>
            </w:r>
            <w:r>
              <w:rPr>
                <w:rFonts w:hint="eastAsia" w:ascii="宋体" w:hAnsi="宋体" w:cs="宋体"/>
                <w:color w:val="000000"/>
                <w:kern w:val="0"/>
                <w:sz w:val="20"/>
                <w:szCs w:val="20"/>
                <w:highlight w:val="none"/>
              </w:rPr>
              <w:t>天扣</w:t>
            </w:r>
            <w:r>
              <w:rPr>
                <w:color w:val="000000"/>
                <w:kern w:val="0"/>
                <w:sz w:val="20"/>
                <w:szCs w:val="20"/>
                <w:highlight w:val="none"/>
              </w:rPr>
              <w:t>1</w:t>
            </w:r>
            <w:r>
              <w:rPr>
                <w:rFonts w:hint="eastAsia" w:ascii="宋体" w:hAnsi="宋体" w:cs="宋体"/>
                <w:color w:val="000000"/>
                <w:kern w:val="0"/>
                <w:sz w:val="20"/>
                <w:szCs w:val="20"/>
                <w:highlight w:val="none"/>
              </w:rPr>
              <w:t>分，每缺</w:t>
            </w:r>
            <w:r>
              <w:rPr>
                <w:color w:val="000000"/>
                <w:kern w:val="0"/>
                <w:sz w:val="20"/>
                <w:szCs w:val="20"/>
                <w:highlight w:val="none"/>
              </w:rPr>
              <w:t>1</w:t>
            </w:r>
            <w:r>
              <w:rPr>
                <w:rFonts w:hint="eastAsia" w:ascii="宋体" w:hAnsi="宋体" w:cs="宋体"/>
                <w:color w:val="000000"/>
                <w:kern w:val="0"/>
                <w:sz w:val="20"/>
                <w:szCs w:val="20"/>
                <w:highlight w:val="none"/>
              </w:rPr>
              <w:t>项扣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、属分包人原因造成阶段（以月为单位）进度计划不能完成的，每延迟</w:t>
            </w:r>
            <w:r>
              <w:rPr>
                <w:color w:val="000000"/>
                <w:kern w:val="0"/>
                <w:sz w:val="20"/>
                <w:szCs w:val="20"/>
                <w:highlight w:val="none"/>
              </w:rPr>
              <w:t>1</w:t>
            </w:r>
            <w:r>
              <w:rPr>
                <w:rFonts w:hint="eastAsia" w:ascii="宋体" w:hAnsi="宋体" w:cs="宋体"/>
                <w:color w:val="000000"/>
                <w:kern w:val="0"/>
                <w:sz w:val="20"/>
                <w:szCs w:val="20"/>
                <w:highlight w:val="none"/>
              </w:rPr>
              <w:t>个月扣</w:t>
            </w:r>
            <w:r>
              <w:rPr>
                <w:color w:val="000000"/>
                <w:kern w:val="0"/>
                <w:sz w:val="20"/>
                <w:szCs w:val="20"/>
                <w:highlight w:val="none"/>
              </w:rPr>
              <w:t>5</w:t>
            </w:r>
            <w:r>
              <w:rPr>
                <w:rFonts w:hint="eastAsia" w:ascii="宋体" w:hAnsi="宋体" w:cs="宋体"/>
                <w:color w:val="000000"/>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、为保证工程的顺利进行，分包人的项目主要管理人员及班组长离岗时必须请假。如擅自离岗每天每人扣</w:t>
            </w:r>
            <w:r>
              <w:rPr>
                <w:color w:val="000000"/>
                <w:kern w:val="0"/>
                <w:sz w:val="20"/>
                <w:szCs w:val="20"/>
                <w:highlight w:val="none"/>
              </w:rPr>
              <w:t>1</w:t>
            </w:r>
            <w:r>
              <w:rPr>
                <w:rFonts w:hint="eastAsia" w:ascii="宋体" w:hAnsi="宋体" w:cs="宋体"/>
                <w:color w:val="000000"/>
                <w:kern w:val="0"/>
                <w:sz w:val="20"/>
                <w:szCs w:val="20"/>
                <w:highlight w:val="none"/>
              </w:rPr>
              <w:t>分，并责令离岗者限期返回。</w:t>
            </w:r>
            <w:r>
              <w:rPr>
                <w:color w:val="000000"/>
                <w:kern w:val="0"/>
                <w:sz w:val="20"/>
                <w:szCs w:val="20"/>
                <w:highlight w:val="none"/>
              </w:rPr>
              <w:t xml:space="preserve"> </w:t>
            </w:r>
            <w:r>
              <w:rPr>
                <w:rFonts w:hint="eastAsia" w:ascii="宋体" w:hAnsi="宋体" w:cs="宋体"/>
                <w:color w:val="000000"/>
                <w:kern w:val="0"/>
                <w:sz w:val="20"/>
                <w:szCs w:val="20"/>
                <w:highlight w:val="none"/>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rPr>
              <w:t>10</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、能及时支付农民工工资，未出现投诉、农民工聚众闹事等现象的，本项不扣分；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rPr>
              <w:t>受业主或监理通报批评的，一次扣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、出现廉政问题，造成后果，本项不得分</w:t>
            </w:r>
            <w:r>
              <w:rPr>
                <w:color w:val="000000"/>
                <w:kern w:val="0"/>
                <w:sz w:val="20"/>
                <w:szCs w:val="20"/>
                <w:highlight w:val="none"/>
              </w:rPr>
              <w:t>(</w:t>
            </w:r>
            <w:r>
              <w:rPr>
                <w:rFonts w:hint="eastAsia" w:ascii="宋体" w:hAnsi="宋体" w:cs="宋体"/>
                <w:color w:val="000000"/>
                <w:kern w:val="0"/>
                <w:sz w:val="20"/>
                <w:szCs w:val="20"/>
                <w:highlight w:val="none"/>
              </w:rPr>
              <w:t>本次考核为</w:t>
            </w:r>
            <w:r>
              <w:rPr>
                <w:color w:val="000000"/>
                <w:kern w:val="0"/>
                <w:sz w:val="20"/>
                <w:szCs w:val="20"/>
                <w:highlight w:val="none"/>
              </w:rPr>
              <w:t>0</w:t>
            </w:r>
            <w:r>
              <w:rPr>
                <w:rFonts w:hint="eastAsia" w:ascii="宋体" w:hAnsi="宋体" w:cs="宋体"/>
                <w:color w:val="000000"/>
                <w:kern w:val="0"/>
                <w:sz w:val="20"/>
                <w:szCs w:val="20"/>
                <w:highlight w:val="none"/>
              </w:rPr>
              <w:t>分</w:t>
            </w:r>
            <w:r>
              <w:rPr>
                <w:color w:val="000000"/>
                <w:kern w:val="0"/>
                <w:sz w:val="20"/>
                <w:szCs w:val="20"/>
                <w:highlight w:val="none"/>
              </w:rPr>
              <w:t>)</w:t>
            </w:r>
            <w:r>
              <w:rPr>
                <w:rFonts w:hint="eastAsia" w:ascii="宋体" w:hAnsi="宋体" w:cs="宋体"/>
                <w:color w:val="000000"/>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、购买或领取竞标文件，中间过程确认要进行竞标又未进行竞标的，一次扣</w:t>
            </w:r>
            <w:r>
              <w:rPr>
                <w:color w:val="000000"/>
                <w:kern w:val="0"/>
                <w:sz w:val="20"/>
                <w:szCs w:val="20"/>
                <w:highlight w:val="none"/>
              </w:rPr>
              <w:t>3</w:t>
            </w:r>
            <w:r>
              <w:rPr>
                <w:rFonts w:hint="eastAsia" w:ascii="宋体" w:hAnsi="宋体" w:cs="宋体"/>
                <w:color w:val="000000"/>
                <w:kern w:val="0"/>
                <w:sz w:val="20"/>
                <w:szCs w:val="20"/>
                <w:highlight w:val="none"/>
              </w:rPr>
              <w:t>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6"/>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szCs w:val="21"/>
                <w:highlight w:val="none"/>
              </w:rPr>
              <w:t>综合评分法</w:t>
            </w:r>
            <w:r>
              <w:rPr>
                <w:rFonts w:hAnsi="宋体"/>
                <w:szCs w:val="21"/>
                <w:highlight w:val="none"/>
              </w:rPr>
              <w:t>的</w:t>
            </w:r>
            <w:r>
              <w:rPr>
                <w:rFonts w:hint="eastAsia" w:hAnsi="宋体"/>
                <w:szCs w:val="21"/>
                <w:highlight w:val="none"/>
              </w:rPr>
              <w:t>评审方法</w:t>
            </w:r>
            <w:r>
              <w:rPr>
                <w:rFonts w:hAnsi="宋体"/>
                <w:szCs w:val="21"/>
                <w:highlight w:val="none"/>
              </w:rPr>
              <w:t>，</w:t>
            </w:r>
            <w:r>
              <w:rPr>
                <w:rFonts w:hint="eastAsia" w:hAnsi="宋体"/>
                <w:szCs w:val="21"/>
                <w:highlight w:val="none"/>
              </w:rPr>
              <w:t>评审小组</w:t>
            </w:r>
            <w:r>
              <w:rPr>
                <w:rFonts w:hAnsi="宋体"/>
                <w:szCs w:val="21"/>
                <w:highlight w:val="none"/>
              </w:rPr>
              <w:t>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highlight w:val="none"/>
              </w:rPr>
            </w:pPr>
            <w:r>
              <w:rPr>
                <w:rFonts w:hint="eastAsia" w:hAnsi="宋体"/>
                <w:szCs w:val="21"/>
                <w:highlight w:val="none"/>
              </w:rPr>
              <w:t>报价文件应符合以下要求或标准，否则按重大偏差处理，其报价文件将被否决：</w:t>
            </w:r>
          </w:p>
          <w:p>
            <w:pPr>
              <w:numPr>
                <w:ilvl w:val="0"/>
                <w:numId w:val="5"/>
              </w:numPr>
              <w:spacing w:line="400" w:lineRule="exact"/>
              <w:rPr>
                <w:rFonts w:hAnsi="宋体"/>
                <w:szCs w:val="21"/>
                <w:highlight w:val="none"/>
              </w:rPr>
            </w:pPr>
            <w:r>
              <w:rPr>
                <w:rFonts w:hint="eastAsia" w:hAnsi="宋体"/>
                <w:szCs w:val="21"/>
                <w:highlight w:val="none"/>
              </w:rPr>
              <w:t>报价人应满足第一章采购公告中的报价人的资格要求条件；</w:t>
            </w:r>
          </w:p>
          <w:p>
            <w:pPr>
              <w:numPr>
                <w:ilvl w:val="0"/>
                <w:numId w:val="5"/>
              </w:numPr>
              <w:spacing w:line="400" w:lineRule="exact"/>
              <w:rPr>
                <w:rFonts w:hAnsi="宋体"/>
                <w:szCs w:val="21"/>
                <w:highlight w:val="none"/>
              </w:rPr>
            </w:pPr>
            <w:r>
              <w:rPr>
                <w:rFonts w:hint="eastAsia" w:hAnsi="宋体"/>
                <w:szCs w:val="21"/>
                <w:highlight w:val="none"/>
              </w:rPr>
              <w:t>报价人的报价不得超过采购人编制的最高控制单价及最高控制总价；</w:t>
            </w:r>
          </w:p>
          <w:p>
            <w:pPr>
              <w:spacing w:line="400" w:lineRule="exact"/>
              <w:rPr>
                <w:szCs w:val="21"/>
                <w:highlight w:val="none"/>
              </w:rPr>
            </w:pPr>
            <w:r>
              <w:rPr>
                <w:rFonts w:hAnsi="宋体"/>
                <w:szCs w:val="21"/>
                <w:highlight w:val="none"/>
              </w:rPr>
              <w:t>（</w:t>
            </w:r>
            <w:r>
              <w:rPr>
                <w:rFonts w:hint="eastAsia"/>
                <w:szCs w:val="21"/>
                <w:highlight w:val="none"/>
              </w:rPr>
              <w:t>3</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int="eastAsia" w:hAnsi="宋体"/>
                <w:szCs w:val="21"/>
                <w:highlight w:val="none"/>
              </w:rPr>
              <w:t>报价文件</w:t>
            </w:r>
            <w:r>
              <w:rPr>
                <w:rFonts w:hAnsi="宋体"/>
                <w:szCs w:val="21"/>
                <w:highlight w:val="none"/>
              </w:rPr>
              <w:t>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int="eastAsia"/>
                <w:szCs w:val="21"/>
                <w:highlight w:val="none"/>
              </w:rPr>
              <w:t>报价文件</w:t>
            </w:r>
            <w:r>
              <w:rPr>
                <w:rFonts w:hAnsi="宋体"/>
                <w:szCs w:val="21"/>
                <w:highlight w:val="none"/>
              </w:rPr>
              <w:t>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rFonts w:hint="eastAsia"/>
                <w:szCs w:val="21"/>
                <w:highlight w:val="none"/>
              </w:rPr>
              <w:t>4</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rFonts w:hint="eastAsia"/>
                <w:szCs w:val="21"/>
                <w:highlight w:val="none"/>
              </w:rPr>
              <w:t>5</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rFonts w:hint="eastAsia"/>
                <w:szCs w:val="21"/>
                <w:highlight w:val="none"/>
              </w:rPr>
              <w:t>6</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rFonts w:hAnsi="宋体"/>
                <w:szCs w:val="21"/>
                <w:highlight w:val="none"/>
              </w:rPr>
            </w:pPr>
            <w:r>
              <w:rPr>
                <w:rFonts w:hAnsi="宋体"/>
                <w:szCs w:val="21"/>
                <w:highlight w:val="none"/>
              </w:rPr>
              <w:t>（</w:t>
            </w:r>
            <w:r>
              <w:rPr>
                <w:rFonts w:hint="eastAsia"/>
                <w:szCs w:val="21"/>
                <w:highlight w:val="none"/>
              </w:rPr>
              <w:t>7</w:t>
            </w:r>
            <w:r>
              <w:rPr>
                <w:rFonts w:hAnsi="宋体"/>
                <w:szCs w:val="21"/>
                <w:highlight w:val="none"/>
              </w:rPr>
              <w:t>）报价人法定代表人若亲自签署报价文件的，提供了法定代表人身份证明</w:t>
            </w:r>
            <w:r>
              <w:rPr>
                <w:rFonts w:hint="eastAsia" w:hAnsi="宋体"/>
                <w:szCs w:val="21"/>
                <w:highlight w:val="none"/>
              </w:rPr>
              <w:t>。</w:t>
            </w:r>
          </w:p>
          <w:p>
            <w:pPr>
              <w:spacing w:line="400" w:lineRule="exact"/>
              <w:rPr>
                <w:szCs w:val="21"/>
                <w:highlight w:val="none"/>
              </w:rPr>
            </w:pPr>
            <w:r>
              <w:rPr>
                <w:rFonts w:hAnsi="宋体"/>
                <w:szCs w:val="21"/>
                <w:highlight w:val="none"/>
              </w:rPr>
              <w:t>（</w:t>
            </w:r>
            <w:r>
              <w:rPr>
                <w:rFonts w:hint="eastAsia"/>
                <w:szCs w:val="21"/>
                <w:highlight w:val="none"/>
              </w:rPr>
              <w:t>8</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rFonts w:hint="eastAsia"/>
                <w:szCs w:val="21"/>
                <w:highlight w:val="none"/>
              </w:rPr>
              <w:t>9</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rFonts w:hint="eastAsia"/>
                <w:szCs w:val="21"/>
                <w:highlight w:val="none"/>
              </w:rPr>
              <w:t>10</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rPr>
              <w:t>11</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rFonts w:hAnsi="宋体"/>
                <w:szCs w:val="21"/>
                <w:highlight w:val="none"/>
              </w:rPr>
            </w:pPr>
            <w:r>
              <w:rPr>
                <w:rFonts w:hAnsi="宋体"/>
                <w:szCs w:val="21"/>
                <w:highlight w:val="none"/>
              </w:rPr>
              <w:t>d.报价人在报价活动中无欺诈行为；</w:t>
            </w:r>
          </w:p>
          <w:p>
            <w:pPr>
              <w:spacing w:line="400" w:lineRule="exact"/>
              <w:ind w:firstLine="420" w:firstLineChars="200"/>
              <w:rPr>
                <w:rFonts w:hAnsi="宋体"/>
                <w:szCs w:val="21"/>
                <w:highlight w:val="none"/>
              </w:rPr>
            </w:pPr>
            <w:r>
              <w:rPr>
                <w:rFonts w:hAnsi="宋体"/>
                <w:szCs w:val="21"/>
                <w:highlight w:val="none"/>
              </w:rPr>
              <w:t>e.报价人未对合同条款有重要保留。</w:t>
            </w:r>
          </w:p>
          <w:p>
            <w:pPr>
              <w:spacing w:line="400" w:lineRule="exact"/>
              <w:rPr>
                <w:szCs w:val="21"/>
                <w:highlight w:val="none"/>
                <w:shd w:val="clear" w:color="auto" w:fill="FFFFFF"/>
              </w:rPr>
            </w:pPr>
            <w:r>
              <w:rPr>
                <w:rFonts w:hint="eastAsia" w:hAnsi="宋体"/>
                <w:szCs w:val="21"/>
                <w:highlight w:val="none"/>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Ansi="宋体"/>
                <w:szCs w:val="21"/>
                <w:highlight w:val="none"/>
              </w:rPr>
              <w:t>90</w:t>
            </w:r>
            <w:r>
              <w:rPr>
                <w:rFonts w:hint="eastAsia" w:hAnsi="宋体"/>
                <w:szCs w:val="21"/>
                <w:highlight w:val="none"/>
              </w:rPr>
              <w:t>分；</w:t>
            </w:r>
          </w:p>
          <w:p>
            <w:pPr>
              <w:spacing w:line="400" w:lineRule="exact"/>
              <w:rPr>
                <w:rFonts w:hAnsi="宋体"/>
                <w:szCs w:val="21"/>
                <w:highlight w:val="none"/>
              </w:rPr>
            </w:pPr>
            <w:r>
              <w:rPr>
                <w:rFonts w:hint="eastAsia" w:eastAsia="宋体"/>
                <w:highlight w:val="none"/>
                <w:lang w:val="en-US" w:eastAsia="zh-CN"/>
              </w:rPr>
              <w:t xml:space="preserve">施工组织设计评分 </w:t>
            </w:r>
            <w:r>
              <w:rPr>
                <w:rFonts w:hint="eastAsia" w:hAnsi="宋体"/>
                <w:szCs w:val="21"/>
                <w:highlight w:val="none"/>
              </w:rPr>
              <w:t>：</w:t>
            </w:r>
            <w:r>
              <w:rPr>
                <w:rFonts w:hAnsi="宋体"/>
                <w:szCs w:val="21"/>
                <w:highlight w:val="none"/>
              </w:rPr>
              <w:t>10</w:t>
            </w:r>
            <w:r>
              <w:rPr>
                <w:rFonts w:hint="eastAsia" w:hAnsi="宋体"/>
                <w:szCs w:val="21"/>
                <w:highlight w:val="none"/>
              </w:rPr>
              <w:t>分。</w:t>
            </w:r>
          </w:p>
          <w:p>
            <w:pPr>
              <w:spacing w:line="400" w:lineRule="exact"/>
              <w:rPr>
                <w:b/>
                <w:bCs/>
                <w:szCs w:val="21"/>
                <w:highlight w:val="none"/>
                <w:shd w:val="clear" w:color="auto" w:fill="FFFFFF"/>
              </w:rPr>
            </w:pPr>
            <w:r>
              <w:rPr>
                <w:rFonts w:hint="eastAsia" w:hAnsi="宋体"/>
                <w:szCs w:val="21"/>
                <w:highlight w:val="none"/>
              </w:rPr>
              <w:t>综合得分：评审价得分+</w:t>
            </w:r>
            <w:r>
              <w:rPr>
                <w:rFonts w:hint="eastAsia" w:eastAsia="宋体"/>
                <w:highlight w:val="none"/>
                <w:lang w:val="en-US" w:eastAsia="zh-CN"/>
              </w:rPr>
              <w:t>施工组织设计评分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rPr>
                <w:rFonts w:hint="eastAsia" w:ascii="宋体" w:hAnsi="宋体" w:eastAsia="宋体" w:cs="宋体"/>
              </w:rPr>
            </w:pPr>
            <w:r>
              <w:rPr>
                <w:rFonts w:hint="eastAsia" w:ascii="宋体" w:hAnsi="宋体" w:eastAsia="宋体" w:cs="宋体"/>
              </w:rPr>
              <w:t>评标基准价计算公式：B×(1-K)。其中：</w:t>
            </w:r>
          </w:p>
          <w:p>
            <w:pPr>
              <w:rPr>
                <w:rFonts w:hint="eastAsia" w:ascii="宋体" w:hAnsi="宋体" w:eastAsia="宋体" w:cs="宋体"/>
              </w:rPr>
            </w:pPr>
            <w:r>
              <w:rPr>
                <w:rFonts w:hint="eastAsia" w:ascii="宋体" w:hAnsi="宋体" w:eastAsia="宋体" w:cs="宋体"/>
              </w:rPr>
              <w:t>B为最高控制价。</w:t>
            </w:r>
          </w:p>
          <w:p>
            <w:pPr>
              <w:rPr>
                <w:rFonts w:hint="eastAsia" w:ascii="宋体" w:hAnsi="宋体" w:eastAsia="宋体" w:cs="宋体"/>
              </w:rPr>
            </w:pPr>
            <w:r>
              <w:rPr>
                <w:rFonts w:hint="eastAsia" w:ascii="宋体" w:hAnsi="宋体" w:eastAsia="宋体" w:cs="宋体"/>
              </w:rPr>
              <w:t>1、评标基准价计算取值范围：根据上述公式和K的取值区间上、下限计算确定评标基准价计算取值范围的上、下限。本采购项目K的取值区间为</w:t>
            </w:r>
            <w:r>
              <w:rPr>
                <w:rFonts w:hint="eastAsia" w:ascii="宋体" w:hAnsi="宋体" w:eastAsia="宋体" w:cs="宋体"/>
                <w:b/>
                <w:bCs/>
                <w:highlight w:val="none"/>
                <w:u w:val="single"/>
                <w:lang w:val="en-US" w:eastAsia="zh-CN"/>
              </w:rPr>
              <w:t>2</w:t>
            </w:r>
            <w:r>
              <w:rPr>
                <w:rFonts w:hint="eastAsia" w:ascii="宋体" w:hAnsi="宋体" w:eastAsia="宋体" w:cs="宋体"/>
                <w:b/>
                <w:bCs/>
                <w:highlight w:val="none"/>
                <w:u w:val="single"/>
              </w:rPr>
              <w:t>%~</w:t>
            </w:r>
            <w:r>
              <w:rPr>
                <w:rFonts w:hint="eastAsia" w:ascii="宋体" w:hAnsi="宋体" w:eastAsia="宋体" w:cs="宋体"/>
                <w:b/>
                <w:bCs/>
                <w:highlight w:val="none"/>
                <w:u w:val="single"/>
                <w:lang w:val="en-US" w:eastAsia="zh-CN"/>
              </w:rPr>
              <w:t>4</w:t>
            </w:r>
            <w:r>
              <w:rPr>
                <w:rFonts w:hint="eastAsia" w:ascii="宋体" w:hAnsi="宋体" w:eastAsia="宋体" w:cs="宋体"/>
                <w:b/>
                <w:bCs/>
                <w:highlight w:val="none"/>
                <w:u w:val="single"/>
              </w:rPr>
              <w:t>%</w:t>
            </w:r>
            <w:r>
              <w:rPr>
                <w:rFonts w:hint="eastAsia" w:ascii="宋体" w:hAnsi="宋体" w:eastAsia="宋体" w:cs="宋体"/>
              </w:rPr>
              <w:t>（含</w:t>
            </w:r>
            <w:r>
              <w:rPr>
                <w:rFonts w:hint="eastAsia" w:ascii="宋体" w:hAnsi="宋体" w:eastAsia="宋体" w:cs="宋体"/>
                <w:lang w:val="en-US" w:eastAsia="zh-CN"/>
              </w:rPr>
              <w:t>2</w:t>
            </w:r>
            <w:r>
              <w:rPr>
                <w:rFonts w:hint="eastAsia" w:ascii="宋体" w:hAnsi="宋体" w:eastAsia="宋体" w:cs="宋体"/>
              </w:rPr>
              <w:t>%，不含</w:t>
            </w:r>
            <w:r>
              <w:rPr>
                <w:rFonts w:hint="eastAsia" w:ascii="宋体" w:hAnsi="宋体" w:eastAsia="宋体" w:cs="宋体"/>
                <w:lang w:val="en-US" w:eastAsia="zh-CN"/>
              </w:rPr>
              <w:t>4</w:t>
            </w:r>
            <w:r>
              <w:rPr>
                <w:rFonts w:hint="eastAsia" w:ascii="宋体" w:hAnsi="宋体" w:eastAsia="宋体" w:cs="宋体"/>
              </w:rPr>
              <w:t>%），按百分数表示的K值小数点后保留2位。</w:t>
            </w:r>
          </w:p>
          <w:p>
            <w:pPr>
              <w:rPr>
                <w:rFonts w:hint="eastAsia" w:ascii="宋体" w:hAnsi="宋体" w:eastAsia="宋体" w:cs="宋体"/>
              </w:rPr>
            </w:pPr>
            <w:r>
              <w:rPr>
                <w:rFonts w:hint="eastAsia" w:ascii="宋体" w:hAnsi="宋体" w:eastAsia="宋体" w:cs="宋体"/>
              </w:rPr>
              <w:t>K值在所有报价人第二信封开启后，由采购人公开抽取。K值分三次抽取，首先抽取整数位，其次抽取小数点后第一位，最后抽取小数点后第二位</w:t>
            </w:r>
          </w:p>
          <w:p>
            <w:pPr>
              <w:rPr>
                <w:rFonts w:hint="eastAsia" w:ascii="宋体" w:hAnsi="宋体" w:eastAsia="宋体" w:cs="宋体"/>
              </w:rPr>
            </w:pPr>
            <w:r>
              <w:rPr>
                <w:rFonts w:hint="eastAsia" w:ascii="宋体" w:hAnsi="宋体" w:eastAsia="宋体" w:cs="宋体"/>
              </w:rPr>
              <w:t>2、评标基准价：根据上述公式和采购人公开抽取的K值计算确定。</w:t>
            </w:r>
          </w:p>
          <w:p>
            <w:pPr>
              <w:rPr>
                <w:rFonts w:ascii="宋体" w:hAnsi="宋体" w:eastAsia="宋体" w:cs="宋体"/>
                <w:szCs w:val="21"/>
              </w:rPr>
            </w:pPr>
            <w:r>
              <w:rPr>
                <w:rFonts w:hint="eastAsia" w:ascii="宋体" w:hAnsi="宋体" w:eastAsia="宋体" w:cs="宋体"/>
              </w:rPr>
              <w:t>3、评标基准价计算取值范围的上、下限和评标基准价均取整数（以“元”为单位，小数点后第一位“四舍五入”，第二位及以后不计）。</w:t>
            </w:r>
          </w:p>
          <w:p>
            <w:pPr>
              <w:tabs>
                <w:tab w:val="left" w:pos="720"/>
              </w:tabs>
              <w:spacing w:line="360" w:lineRule="exact"/>
              <w:ind w:firstLine="417" w:firstLineChars="199"/>
              <w:rPr>
                <w:rFonts w:hint="eastAsia" w:ascii="宋体" w:hAnsi="宋体" w:eastAsia="宋体"/>
                <w:szCs w:val="21"/>
              </w:rPr>
            </w:pPr>
            <w:r>
              <w:rPr>
                <w:rFonts w:hint="eastAsia" w:ascii="宋体" w:hAnsi="宋体" w:eastAsia="宋体"/>
                <w:szCs w:val="21"/>
              </w:rPr>
              <w:t>未通过第一信封资格评审或形式评审与响应性评审的投标价不参与评</w:t>
            </w:r>
            <w:r>
              <w:rPr>
                <w:rFonts w:hint="eastAsia" w:ascii="宋体" w:hAnsi="宋体" w:eastAsia="宋体"/>
                <w:szCs w:val="21"/>
                <w:lang w:val="en-US" w:eastAsia="zh-CN"/>
              </w:rPr>
              <w:t>审</w:t>
            </w:r>
            <w:r>
              <w:rPr>
                <w:rFonts w:hint="eastAsia" w:ascii="宋体" w:hAnsi="宋体" w:eastAsia="宋体"/>
                <w:szCs w:val="21"/>
              </w:rPr>
              <w:t>。</w:t>
            </w:r>
          </w:p>
          <w:p>
            <w:pPr>
              <w:tabs>
                <w:tab w:val="left" w:pos="720"/>
              </w:tabs>
              <w:spacing w:line="360" w:lineRule="exact"/>
              <w:ind w:firstLine="420" w:firstLineChars="199"/>
              <w:rPr>
                <w:rFonts w:hint="eastAsia" w:ascii="宋体" w:hAnsi="宋体" w:eastAsia="宋体"/>
                <w:b/>
                <w:bCs/>
                <w:szCs w:val="21"/>
              </w:rPr>
            </w:pPr>
            <w:r>
              <w:rPr>
                <w:rFonts w:hint="eastAsia" w:ascii="宋体" w:hAnsi="宋体" w:eastAsia="宋体" w:cs="宋体"/>
                <w:b/>
                <w:bCs/>
                <w:szCs w:val="21"/>
              </w:rPr>
              <w:t>除</w:t>
            </w:r>
            <w:r>
              <w:rPr>
                <w:rFonts w:hint="eastAsia" w:ascii="宋体" w:hAnsi="宋体" w:eastAsia="宋体" w:cs="宋体"/>
                <w:b/>
                <w:bCs/>
                <w:szCs w:val="21"/>
                <w:lang w:val="en-US" w:eastAsia="zh-CN"/>
              </w:rPr>
              <w:t>以上</w:t>
            </w:r>
            <w:r>
              <w:rPr>
                <w:rFonts w:hint="eastAsia" w:ascii="宋体" w:hAnsi="宋体" w:eastAsia="宋体"/>
                <w:b/>
                <w:bCs/>
                <w:szCs w:val="21"/>
              </w:rPr>
              <w:t>情况外的投标报价均参与</w:t>
            </w:r>
            <w:r>
              <w:rPr>
                <w:rFonts w:hint="eastAsia" w:ascii="宋体" w:hAnsi="宋体" w:eastAsia="宋体"/>
                <w:b/>
                <w:bCs/>
                <w:szCs w:val="21"/>
                <w:lang w:val="en-US" w:eastAsia="zh-CN"/>
              </w:rPr>
              <w:t>评审</w:t>
            </w:r>
            <w:r>
              <w:rPr>
                <w:rFonts w:hint="eastAsia" w:ascii="宋体" w:hAnsi="宋体" w:eastAsia="宋体"/>
                <w:b/>
                <w:bCs/>
                <w:szCs w:val="21"/>
              </w:rPr>
              <w:t>。</w:t>
            </w:r>
          </w:p>
          <w:p>
            <w:pPr>
              <w:spacing w:line="400" w:lineRule="exact"/>
              <w:rPr>
                <w:b/>
                <w:bCs/>
                <w:szCs w:val="21"/>
                <w:highlight w:val="none"/>
                <w:shd w:val="clear" w:color="auto" w:fill="FFFFFF"/>
              </w:rPr>
            </w:pPr>
            <w:r>
              <w:rPr>
                <w:rFonts w:hint="eastAsia" w:ascii="宋体" w:hAnsi="宋体" w:eastAsia="宋体" w:cs="Times New Roman"/>
                <w:kern w:val="2"/>
                <w:sz w:val="21"/>
                <w:szCs w:val="21"/>
                <w:lang w:eastAsia="zh-CN"/>
              </w:rPr>
              <w:t>如果报价人认为某一合同包的评审基准价计算有误，有权在评审现场提出，经监督人当场核实确认之后，可重新宣布评审基准价。确认后的评审基准价在整个评审期间保持不变，不随通过初步评审和详细评审的报价人的数量而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（9</w:t>
            </w:r>
            <w:r>
              <w:rPr>
                <w:szCs w:val="21"/>
                <w:highlight w:val="none"/>
                <w:shd w:val="clear" w:color="auto" w:fill="FFFFFF"/>
              </w:rPr>
              <w:t>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highlight w:val="none"/>
              </w:rPr>
            </w:pPr>
            <w:r>
              <w:rPr>
                <w:rFonts w:hAnsi="宋体"/>
                <w:szCs w:val="21"/>
                <w:highlight w:val="none"/>
              </w:rPr>
              <w:t>评</w:t>
            </w:r>
            <w:r>
              <w:rPr>
                <w:rFonts w:hint="eastAsia" w:hAnsi="宋体"/>
                <w:szCs w:val="21"/>
                <w:highlight w:val="none"/>
              </w:rPr>
              <w:t>审</w:t>
            </w:r>
            <w:r>
              <w:rPr>
                <w:rFonts w:hAnsi="宋体"/>
                <w:szCs w:val="21"/>
                <w:highlight w:val="none"/>
              </w:rPr>
              <w:t>价得分计算公式示例：</w:t>
            </w:r>
          </w:p>
          <w:p>
            <w:pPr>
              <w:widowControl/>
              <w:spacing w:line="400" w:lineRule="exact"/>
              <w:jc w:val="left"/>
              <w:rPr>
                <w:rFonts w:hAnsi="宋体"/>
                <w:szCs w:val="21"/>
                <w:highlight w:val="none"/>
              </w:rPr>
            </w:pPr>
            <w:r>
              <w:rPr>
                <w:rFonts w:hint="eastAsia" w:hAnsi="宋体"/>
                <w:szCs w:val="21"/>
                <w:highlight w:val="none"/>
              </w:rPr>
              <w:t>（1）如果报价人的评审价＞评审基准价，则评审价得分=90-偏差率×100×E1；</w:t>
            </w:r>
          </w:p>
          <w:p>
            <w:pPr>
              <w:widowControl/>
              <w:spacing w:line="400" w:lineRule="exact"/>
              <w:jc w:val="left"/>
              <w:rPr>
                <w:rFonts w:hAnsi="宋体"/>
                <w:szCs w:val="21"/>
                <w:highlight w:val="none"/>
              </w:rPr>
            </w:pPr>
            <w:r>
              <w:rPr>
                <w:rFonts w:hint="eastAsia" w:hAnsi="宋体"/>
                <w:szCs w:val="21"/>
                <w:highlight w:val="none"/>
              </w:rPr>
              <w:t>（2）如果报价人的评审价≤评审基准价，则评审价得分=90+偏差率×100×E2；</w:t>
            </w:r>
          </w:p>
          <w:p>
            <w:pPr>
              <w:widowControl/>
              <w:spacing w:line="400" w:lineRule="exact"/>
              <w:jc w:val="left"/>
              <w:rPr>
                <w:rFonts w:hAnsi="宋体"/>
                <w:szCs w:val="21"/>
                <w:highlight w:val="none"/>
              </w:rPr>
            </w:pPr>
            <w:r>
              <w:rPr>
                <w:rFonts w:hint="eastAsia" w:hAnsi="宋体"/>
                <w:szCs w:val="21"/>
                <w:highlight w:val="none"/>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Ansi="宋体"/>
                <w:szCs w:val="21"/>
                <w:highlight w:val="none"/>
              </w:rPr>
            </w:pPr>
            <w:r>
              <w:rPr>
                <w:rFonts w:hint="eastAsia" w:hAnsi="宋体"/>
                <w:szCs w:val="21"/>
                <w:highlight w:val="none"/>
              </w:rPr>
              <w:t>项目E1、E2取值分别为：E1=1.5   E2=1.0</w:t>
            </w:r>
          </w:p>
          <w:p>
            <w:pPr>
              <w:spacing w:line="400" w:lineRule="exact"/>
              <w:rPr>
                <w:szCs w:val="21"/>
                <w:highlight w:val="none"/>
                <w:shd w:val="clear" w:color="auto" w:fill="FFFFFF"/>
              </w:rPr>
            </w:pPr>
            <w:r>
              <w:rPr>
                <w:rFonts w:hint="eastAsia" w:hAnsi="宋体"/>
                <w:szCs w:val="21"/>
                <w:highlight w:val="none"/>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5"/>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（10分）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（1）施工组织方案要求(满分2分)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a.内容符合基本要求，对工程概况及施工方案描述到位，得基本分1分；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1.0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（2）主要施工项目的施工方案、方法、技术措施(满分5分)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a.方案方法与技术措施基本合理，明确本项目实施的质量、进度和安全目标，根据投标人施工部署的科学、合理等情况，得基本分3分；</w:t>
            </w:r>
          </w:p>
          <w:p>
            <w:pPr>
              <w:widowControl/>
              <w:numPr>
                <w:ilvl w:val="0"/>
                <w:numId w:val="0"/>
              </w:numP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2.0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（3）安全、工期保证措施及应急预案(满分3分)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1.5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1.0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pStyle w:val="2"/>
              <w:ind w:left="0" w:leftChars="0" w:firstLine="0" w:firstLineChars="0"/>
              <w:rPr>
                <w:rFonts w:hint="default"/>
                <w:lang w:val="en-US" w:eastAsia="zh-CN"/>
              </w:rPr>
            </w:pPr>
            <w:r>
              <w:rPr>
                <w:rFonts w:hint="eastAsia" w:ascii="宋体" w:hAnsi="宋体" w:cs="Times New Roman"/>
                <w:kern w:val="2"/>
                <w:sz w:val="21"/>
                <w:szCs w:val="21"/>
                <w:lang w:val="en-US" w:eastAsia="zh-CN" w:bidi="ar-SA"/>
              </w:rPr>
              <w:t>C.编制的交通管控方案满足规范要求，有较为详细的交通管制措施，得基本分0.5分</w:t>
            </w:r>
          </w:p>
          <w:p>
            <w:pPr>
              <w:snapToGrid w:val="0"/>
              <w:spacing w:line="360" w:lineRule="exact"/>
              <w:jc w:val="left"/>
              <w:rPr>
                <w:rFonts w:ascii="宋体" w:hAnsi="宋体"/>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本次评审采用综合评分法，具体为“</w:t>
      </w:r>
      <w:r>
        <w:rPr>
          <w:rFonts w:hint="eastAsia" w:ascii="宋体" w:hAnsi="宋体" w:cs="仿宋_GB2312"/>
          <w:sz w:val="24"/>
          <w:highlight w:val="none"/>
        </w:rPr>
        <w:t>合理低价法+</w:t>
      </w:r>
      <w:r>
        <w:rPr>
          <w:rFonts w:hint="eastAsia" w:eastAsia="宋体"/>
          <w:highlight w:val="none"/>
          <w:lang w:val="en-US" w:eastAsia="zh-CN"/>
        </w:rPr>
        <w:t>施工组织设计评分</w:t>
      </w:r>
      <w:r>
        <w:rPr>
          <w:rFonts w:hint="eastAsia" w:ascii="宋体" w:hAnsi="宋体" w:cs="仿宋_GB2312"/>
          <w:sz w:val="24"/>
          <w:highlight w:val="none"/>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15"/>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5"/>
      </w:pPr>
    </w:p>
    <w:p>
      <w:pPr>
        <w:pStyle w:val="15"/>
        <w:ind w:firstLine="400"/>
        <w:rPr>
          <w:highlight w:val="none"/>
        </w:rPr>
      </w:pPr>
    </w:p>
    <w:p>
      <w:pPr>
        <w:pStyle w:val="15"/>
        <w:ind w:firstLine="400"/>
        <w:rPr>
          <w:highlight w:val="none"/>
        </w:rPr>
      </w:pPr>
    </w:p>
    <w:p>
      <w:pPr>
        <w:pStyle w:val="15"/>
        <w:ind w:firstLine="400"/>
        <w:rPr>
          <w:highlight w:val="none"/>
        </w:rPr>
      </w:pPr>
    </w:p>
    <w:p>
      <w:pPr>
        <w:pStyle w:val="15"/>
        <w:ind w:firstLine="400"/>
        <w:rPr>
          <w:highlight w:val="none"/>
        </w:rPr>
      </w:pPr>
    </w:p>
    <w:p>
      <w:pPr>
        <w:pStyle w:val="15"/>
        <w:ind w:firstLine="400"/>
        <w:rPr>
          <w:highlight w:val="none"/>
        </w:rPr>
      </w:pPr>
    </w:p>
    <w:p>
      <w:pPr>
        <w:numPr>
          <w:ilvl w:val="0"/>
          <w:numId w:val="6"/>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CN"/>
        </w:rPr>
        <w:t>福建省高速公路养护工程有限公司项目经理部二</w:t>
      </w:r>
      <w:r>
        <w:rPr>
          <w:rFonts w:hint="eastAsia" w:ascii="宋体" w:hAnsi="宋体" w:cs="宋体"/>
          <w:szCs w:val="21"/>
          <w:highlight w:val="none"/>
          <w:u w:val="single"/>
        </w:rPr>
        <w:t>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福建省高速公路养护工程有限公司项目经理部二</w:t>
      </w:r>
      <w:r>
        <w:rPr>
          <w:rFonts w:hint="eastAsia" w:ascii="宋体" w:hAnsi="宋体" w:cs="宋体"/>
          <w:szCs w:val="21"/>
          <w:highlight w:val="none"/>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highlight w:val="none"/>
        </w:rPr>
        <w:t>。</w:t>
      </w:r>
    </w:p>
    <w:p>
      <w:pPr>
        <w:spacing w:line="324" w:lineRule="auto"/>
        <w:ind w:firstLine="359" w:firstLineChars="171"/>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10.承包人已审慎阅读发包人的授权书，对发包人的授权事项及范围没有异议。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合同签订地：                签订时间：    年   月   日</w:t>
      </w:r>
    </w:p>
    <w:p>
      <w:pPr>
        <w:pStyle w:val="30"/>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十、本合同一式肆份，由甲乙双方各执一份，甲乙双方纪检监察部门各存一份备案。</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福建省高速公路养护工程有限公司项目经理部二</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本合同一式陆份，合同双方各执叁份。由双方法定代表人或其授权的代理人签署与加盖公章后生效，全部工程竣工验收后失效。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15"/>
        <w:ind w:firstLine="480"/>
        <w:rPr>
          <w:rFonts w:ascii="仿宋_GB2312" w:eastAsia="仿宋_GB2312"/>
          <w:sz w:val="24"/>
          <w:highlight w:val="none"/>
        </w:rPr>
      </w:pPr>
    </w:p>
    <w:p>
      <w:pPr>
        <w:pStyle w:val="10"/>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15"/>
        <w:ind w:firstLine="883"/>
        <w:rPr>
          <w:rFonts w:ascii="仿宋_GB2312" w:hAnsi="宋体" w:eastAsia="仿宋_GB2312"/>
          <w:b/>
          <w:sz w:val="44"/>
          <w:szCs w:val="44"/>
          <w:highlight w:val="none"/>
        </w:rPr>
      </w:pPr>
    </w:p>
    <w:p>
      <w:pPr>
        <w:adjustRightInd w:val="0"/>
        <w:spacing w:line="300" w:lineRule="auto"/>
        <w:ind w:firstLine="420"/>
        <w:jc w:val="center"/>
        <w:rPr>
          <w:rFonts w:ascii="仿宋_GB2312" w:hAnsi="宋体" w:eastAsia="仿宋_GB2312" w:cs="宋体"/>
          <w:b/>
          <w:kern w:val="0"/>
          <w:sz w:val="36"/>
          <w:szCs w:val="36"/>
          <w:highlight w:val="none"/>
        </w:rPr>
      </w:pPr>
    </w:p>
    <w:p>
      <w:pPr>
        <w:pStyle w:val="15"/>
        <w:ind w:firstLine="723"/>
        <w:rPr>
          <w:rFonts w:ascii="仿宋_GB2312" w:hAnsi="宋体" w:eastAsia="仿宋_GB2312" w:cs="宋体"/>
          <w:b/>
          <w:sz w:val="36"/>
          <w:szCs w:val="36"/>
          <w:highlight w:val="none"/>
        </w:rPr>
      </w:pPr>
    </w:p>
    <w:p>
      <w:pPr>
        <w:pStyle w:val="15"/>
        <w:rPr>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7"/>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7"/>
        </w:numPr>
        <w:tabs>
          <w:tab w:val="left" w:pos="0"/>
          <w:tab w:val="left" w:pos="993"/>
          <w:tab w:val="left" w:pos="1134"/>
        </w:tabs>
        <w:snapToGrid w:val="0"/>
        <w:spacing w:line="400" w:lineRule="exact"/>
        <w:ind w:firstLine="48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0"/>
        <w:rPr>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15"/>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2"/>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p>
    <w:p>
      <w:pPr>
        <w:pStyle w:val="2"/>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2"/>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2"/>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15"/>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2"/>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2"/>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2"/>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2"/>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600" w:lineRule="exact"/>
        <w:ind w:firstLine="0"/>
        <w:jc w:val="left"/>
        <w:rPr>
          <w:b/>
          <w:bCs/>
          <w:highlight w:val="none"/>
        </w:rPr>
      </w:pPr>
      <w:r>
        <w:rPr>
          <w:rFonts w:hint="eastAsia"/>
          <w:b/>
          <w:bCs/>
          <w:highlight w:val="none"/>
        </w:rPr>
        <w:t>注：</w:t>
      </w:r>
    </w:p>
    <w:p>
      <w:pPr>
        <w:pStyle w:val="2"/>
        <w:numPr>
          <w:ilvl w:val="0"/>
          <w:numId w:val="8"/>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2"/>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15"/>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福建省高速公路养护工程有限公司项目经理部二</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15"/>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15"/>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9"/>
        <w:rPr>
          <w:highlight w:val="none"/>
        </w:rPr>
      </w:pPr>
    </w:p>
    <w:p>
      <w:pPr>
        <w:pStyle w:val="15"/>
        <w:ind w:left="0" w:leftChars="0" w:firstLine="0" w:firstLineChars="0"/>
        <w:jc w:val="center"/>
        <w:rPr>
          <w:rFonts w:hint="eastAsia" w:ascii="宋体" w:hAnsi="宋体" w:eastAsia="宋体" w:cs="宋体"/>
          <w:sz w:val="52"/>
          <w:szCs w:val="52"/>
          <w:highlight w:val="none"/>
          <w:u w:val="single"/>
        </w:rPr>
      </w:pPr>
      <w:r>
        <w:rPr>
          <w:rFonts w:hint="eastAsia" w:ascii="宋体" w:hAnsi="宋体" w:cs="宋体"/>
          <w:sz w:val="52"/>
          <w:szCs w:val="52"/>
          <w:highlight w:val="none"/>
          <w:u w:val="single"/>
          <w:lang w:eastAsia="zh-CN"/>
        </w:rPr>
        <w:t>龙岩老区苏区路高速公路绿化养护提升改造工程</w:t>
      </w:r>
      <w:r>
        <w:rPr>
          <w:rFonts w:hint="eastAsia" w:ascii="宋体" w:hAnsi="宋体" w:eastAsia="宋体" w:cs="宋体"/>
          <w:sz w:val="52"/>
          <w:szCs w:val="52"/>
          <w:highlight w:val="none"/>
          <w:u w:val="single"/>
        </w:rPr>
        <w:t>施工协作队伍选择</w:t>
      </w:r>
    </w:p>
    <w:p>
      <w:pPr>
        <w:pStyle w:val="9"/>
        <w:jc w:val="center"/>
        <w:rPr>
          <w:rFonts w:ascii="仿宋_GB2312" w:hAnsi="宋体" w:eastAsia="仿宋_GB2312"/>
          <w:sz w:val="44"/>
          <w:szCs w:val="44"/>
          <w:highlight w:val="none"/>
          <w:u w:val="single"/>
        </w:rPr>
      </w:pP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9"/>
        <w:spacing w:line="264" w:lineRule="auto"/>
        <w:rPr>
          <w:rFonts w:ascii="仿宋_GB2312" w:hAnsi="Times New Roman" w:eastAsia="仿宋_GB2312"/>
          <w:sz w:val="36"/>
          <w:highlight w:val="none"/>
        </w:rPr>
      </w:pPr>
    </w:p>
    <w:p>
      <w:pPr>
        <w:pStyle w:val="9"/>
        <w:rPr>
          <w:highlight w:val="none"/>
        </w:rPr>
      </w:pPr>
    </w:p>
    <w:p>
      <w:pPr>
        <w:pStyle w:val="29"/>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9"/>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9"/>
        <w:spacing w:line="264" w:lineRule="auto"/>
        <w:rPr>
          <w:rFonts w:ascii="仿宋_GB2312" w:hAnsi="Times New Roman" w:eastAsia="仿宋_GB2312"/>
          <w:sz w:val="36"/>
          <w:highlight w:val="none"/>
        </w:rPr>
      </w:pPr>
    </w:p>
    <w:p>
      <w:pPr>
        <w:pStyle w:val="29"/>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9"/>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9"/>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9"/>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4、项目负责人证明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5、营业执照</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6、施工安全许可证</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7、业绩证明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8、其他资料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15"/>
        <w:ind w:firstLine="643"/>
        <w:rPr>
          <w:rFonts w:ascii="仿宋_GB2312" w:hAnsi="宋体" w:eastAsia="仿宋_GB2312"/>
          <w:b/>
          <w:sz w:val="32"/>
          <w:szCs w:val="32"/>
          <w:highlight w:val="none"/>
        </w:rPr>
      </w:pPr>
    </w:p>
    <w:p>
      <w:pPr>
        <w:pStyle w:val="10"/>
        <w:rPr>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福建省高速公路养护工程有限公司项目经理部二</w:t>
      </w:r>
      <w:r>
        <w:rPr>
          <w:rFonts w:hint="eastAsia" w:ascii="仿宋_GB2312" w:eastAsia="仿宋_GB2312"/>
          <w:sz w:val="24"/>
          <w:highlight w:val="none"/>
        </w:rPr>
        <w:t>：</w:t>
      </w:r>
    </w:p>
    <w:p>
      <w:pPr>
        <w:numPr>
          <w:ilvl w:val="0"/>
          <w:numId w:val="9"/>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龙岩老区苏区路高速公路绿化养护提升改造工程</w:t>
      </w:r>
      <w:r>
        <w:rPr>
          <w:rFonts w:hint="eastAsia" w:ascii="仿宋_GB2312" w:eastAsia="仿宋_GB2312"/>
          <w:sz w:val="24"/>
          <w:highlight w:val="none"/>
          <w:u w:val="single"/>
        </w:rPr>
        <w:t>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60个日历天内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2"/>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2"/>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2"/>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500" w:lineRule="exact"/>
        <w:ind w:firstLine="0"/>
        <w:rPr>
          <w:rFonts w:ascii="仿宋_GB2312" w:eastAsia="仿宋_GB2312"/>
          <w:sz w:val="24"/>
          <w:szCs w:val="24"/>
          <w:highlight w:val="none"/>
        </w:rPr>
      </w:pPr>
    </w:p>
    <w:p>
      <w:pPr>
        <w:pStyle w:val="2"/>
        <w:spacing w:line="500" w:lineRule="exact"/>
        <w:ind w:firstLine="0"/>
        <w:rPr>
          <w:rFonts w:ascii="仿宋_GB2312" w:eastAsia="仿宋_GB2312"/>
          <w:sz w:val="24"/>
          <w:szCs w:val="24"/>
          <w:highlight w:val="none"/>
        </w:rPr>
      </w:pPr>
    </w:p>
    <w:tbl>
      <w:tblPr>
        <w:tblStyle w:val="16"/>
        <w:tblW w:w="97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346"/>
        <w:gridCol w:w="1142"/>
        <w:gridCol w:w="1794"/>
        <w:gridCol w:w="713"/>
        <w:gridCol w:w="259"/>
        <w:gridCol w:w="491"/>
        <w:gridCol w:w="1039"/>
        <w:gridCol w:w="346"/>
        <w:gridCol w:w="693"/>
        <w:gridCol w:w="1038"/>
        <w:gridCol w:w="88"/>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499" w:hRule="atLeast"/>
        </w:trPr>
        <w:tc>
          <w:tcPr>
            <w:tcW w:w="8772"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580" w:hRule="atLeast"/>
        </w:trPr>
        <w:tc>
          <w:tcPr>
            <w:tcW w:w="8772" w:type="dxa"/>
            <w:gridSpan w:val="12"/>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项目名称：龙岩老区苏区路高速公路绿化养护及部分交通工程提升改造工程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3"/>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7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72552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7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绿化及环境保护工程</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1916310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7"/>
                <w:lang w:val="en-US" w:eastAsia="zh-CN" w:bidi="ar"/>
              </w:rPr>
              <w:t>第101章</w:t>
            </w:r>
            <w:r>
              <w:rPr>
                <w:rFonts w:hint="default" w:ascii="Times New Roman" w:hAnsi="Times New Roman" w:eastAsia="宋体" w:cs="Times New Roman"/>
                <w:i w:val="0"/>
                <w:iCs w:val="0"/>
                <w:color w:val="000000"/>
                <w:kern w:val="0"/>
                <w:sz w:val="24"/>
                <w:szCs w:val="24"/>
                <w:u w:val="none"/>
                <w:lang w:val="en-US" w:eastAsia="zh-CN" w:bidi="ar"/>
              </w:rPr>
              <w:t>~</w:t>
            </w:r>
            <w:r>
              <w:rPr>
                <w:rStyle w:val="37"/>
                <w:lang w:val="en-US" w:eastAsia="zh-CN" w:bidi="ar"/>
              </w:rPr>
              <w:t>102章清单合计</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1988862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4"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1988862 </w:t>
            </w:r>
          </w:p>
        </w:tc>
        <w:tc>
          <w:tcPr>
            <w:tcW w:w="1822"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24"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项目名称：龙岩老区苏区路高速公路绿化养护及部分交通工程提升改造工程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第101章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安全布控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次</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719.33</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43160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29392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29392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64"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72552 </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24"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项目名称：龙岩老区苏区路高速公路绿化养护及部分交通工程提升改造工程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第103章    绿化及环境保护工程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香樟（米径15cm，高度≥600cm，冠幅≥300cm）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2728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10912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香樟（米径12-13cm，高度≥400cm，冠幅≥200cm）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2110.97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78106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天竺桂（米径14cm，高度≥450cm，冠幅≥250cm）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1896.53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113792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福建山樱花</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897.91</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20652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金桂</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2195.75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17566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10206</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银叶金合欢</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265.2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33415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10207</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红枫</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325.5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罗汉松桩景A</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12846.67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77080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罗汉松桩景B</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19</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7262.95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137996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红花继木桩景A</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13341.75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53367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红花继木桩景B</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8875.5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106506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大叶女贞</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55</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1914.2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105281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北美海棠</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240.39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29568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紫荆花</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723.87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22440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红叶石楠球A</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395.74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42740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102016</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红叶石楠球B</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269.89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2429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102017</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龟甲冬青球A</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221.91</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5104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龟甲冬青球B</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2881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花叶女贞球</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271.56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无刺枸骨球(高度100cm，冠幅80cm)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208.14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1457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无刺枸骨球(高度120cm，冠幅120cm)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302.4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4536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灌化毛杜鹃球</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240.54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6735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苏铁</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375.92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黄金枸骨</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597.99</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368.02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220072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红花继木</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671.26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131.28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88123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102026</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毛杜鹃</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1073.22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126.37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135623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102027</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红叶石楠</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227.33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155.76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35409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茶梅</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244.67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213.83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52318</w:t>
            </w:r>
          </w:p>
        </w:tc>
        <w:tc>
          <w:tcPr>
            <w:tcW w:w="104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nil"/>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韭兰</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95.06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109.99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10456</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麦冬</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272.77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16.19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4416</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夹竹桃</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142.32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38711</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凌霄</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740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10.69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7911</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双荚槐</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344.16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13078</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草籽喷播、挂网</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7150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45.09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322394</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种植土</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1851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57.12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105729</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64" w:type="dxa"/>
            <w:gridSpan w:val="7"/>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1916310 </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both"/>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2"/>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p>
    <w:p>
      <w:pPr>
        <w:pStyle w:val="2"/>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2"/>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2"/>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2"/>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2"/>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2"/>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2"/>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240" w:lineRule="auto"/>
        <w:ind w:firstLine="0"/>
        <w:jc w:val="left"/>
        <w:rPr>
          <w:b/>
          <w:bCs/>
          <w:highlight w:val="none"/>
        </w:rPr>
      </w:pPr>
      <w:r>
        <w:rPr>
          <w:rFonts w:hint="eastAsia"/>
          <w:b/>
          <w:bCs/>
          <w:highlight w:val="none"/>
        </w:rPr>
        <w:t>注：</w:t>
      </w:r>
    </w:p>
    <w:p>
      <w:pPr>
        <w:pStyle w:val="2"/>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2"/>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5、营业执照</w:t>
      </w: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2"/>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2"/>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15"/>
        <w:ind w:firstLine="723"/>
        <w:rPr>
          <w:rFonts w:ascii="仿宋_GB2312" w:eastAsia="仿宋_GB2312"/>
          <w:b/>
          <w:sz w:val="36"/>
          <w:szCs w:val="36"/>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6、施工安全许可证</w:t>
      </w:r>
    </w:p>
    <w:p>
      <w:pPr>
        <w:pStyle w:val="2"/>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  </w:t>
      </w: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、其他资料</w:t>
      </w:r>
    </w:p>
    <w:p>
      <w:pPr>
        <w:pStyle w:val="2"/>
        <w:spacing w:line="700" w:lineRule="exact"/>
        <w:ind w:firstLine="643" w:firstLineChars="200"/>
        <w:rPr>
          <w:rFonts w:ascii="仿宋_GB2312" w:hAnsi="宋体" w:eastAsia="仿宋_GB2312"/>
          <w:b/>
          <w:sz w:val="32"/>
          <w:szCs w:val="32"/>
          <w:highlight w:val="none"/>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rPr>
        <w:t>复印件</w:t>
      </w:r>
      <w:r>
        <w:rPr>
          <w:rFonts w:ascii="仿宋_GB2312" w:hAnsi="宋体" w:eastAsia="仿宋_GB2312"/>
          <w:b/>
          <w:sz w:val="32"/>
          <w:szCs w:val="32"/>
          <w:highlight w:val="none"/>
        </w:rPr>
        <w:t>（加盖公章）</w:t>
      </w: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lang w:val="en-US" w:eastAsia="zh-CN"/>
        </w:rPr>
        <w:t>七</w:t>
      </w:r>
      <w:r>
        <w:rPr>
          <w:rFonts w:hint="eastAsia" w:ascii="仿宋_GB2312" w:eastAsia="仿宋_GB2312"/>
          <w:sz w:val="48"/>
          <w:szCs w:val="48"/>
          <w:highlight w:val="none"/>
        </w:rPr>
        <w:t>、报价保证金退还申请书</w:t>
      </w:r>
    </w:p>
    <w:p>
      <w:pPr>
        <w:rPr>
          <w:rFonts w:ascii="仿宋_GB2312" w:eastAsia="仿宋_GB2312"/>
          <w:sz w:val="24"/>
          <w:highlight w:val="none"/>
        </w:rPr>
      </w:pPr>
      <w:r>
        <w:rPr>
          <w:rFonts w:hint="eastAsia" w:ascii="仿宋_GB2312" w:eastAsia="仿宋_GB2312"/>
          <w:sz w:val="24"/>
          <w:highlight w:val="none"/>
          <w:lang w:eastAsia="zh-CN"/>
        </w:rPr>
        <w:t>福建省高速公路养护工程有限公司项目经理部二</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当可以退还时，请退还到我公司以下账户，我公司将视为已收到盖报价保证金。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2"/>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60"/>
      </w:p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7"/>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0A"/>
    <w:multiLevelType w:val="singleLevel"/>
    <w:tmpl w:val="0000000A"/>
    <w:lvl w:ilvl="0" w:tentative="0">
      <w:start w:val="4"/>
      <w:numFmt w:val="chineseCounting"/>
      <w:suff w:val="nothing"/>
      <w:lvlText w:val="%1、"/>
      <w:lvlJc w:val="left"/>
      <w:rPr>
        <w:rFonts w:hint="eastAsia"/>
      </w:rPr>
    </w:lvl>
  </w:abstractNum>
  <w:abstractNum w:abstractNumId="8">
    <w:nsid w:val="0000000C"/>
    <w:multiLevelType w:val="singleLevel"/>
    <w:tmpl w:val="0000000C"/>
    <w:lvl w:ilvl="0" w:tentative="0">
      <w:start w:val="9"/>
      <w:numFmt w:val="chineseCounting"/>
      <w:suff w:val="nothing"/>
      <w:lvlText w:val="%1、"/>
      <w:lvlJc w:val="left"/>
      <w:rPr>
        <w:rFonts w:hint="eastAsia"/>
      </w:rPr>
    </w:lvl>
  </w:abstractNum>
  <w:num w:numId="1">
    <w:abstractNumId w:val="6"/>
  </w:num>
  <w:num w:numId="2">
    <w:abstractNumId w:val="4"/>
  </w:num>
  <w:num w:numId="3">
    <w:abstractNumId w:val="8"/>
  </w:num>
  <w:num w:numId="4">
    <w:abstractNumId w:val="2"/>
  </w:num>
  <w:num w:numId="5">
    <w:abstractNumId w:val="1"/>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6213A71"/>
    <w:rsid w:val="25AD1D69"/>
    <w:rsid w:val="25FA1E09"/>
    <w:rsid w:val="351D3DB6"/>
    <w:rsid w:val="3F8D7FCE"/>
    <w:rsid w:val="41100EFB"/>
    <w:rsid w:val="42CB2A6F"/>
    <w:rsid w:val="4EBB5232"/>
    <w:rsid w:val="5C7A006C"/>
    <w:rsid w:val="6EFF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textAlignment w:val="baseline"/>
    </w:pPr>
    <w:rPr>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text"/>
    <w:basedOn w:val="1"/>
    <w:link w:val="21"/>
    <w:qFormat/>
    <w:uiPriority w:val="0"/>
    <w:pPr>
      <w:jc w:val="left"/>
    </w:pPr>
  </w:style>
  <w:style w:type="paragraph" w:styleId="8">
    <w:name w:val="Body Text Indent"/>
    <w:basedOn w:val="1"/>
    <w:next w:val="1"/>
    <w:qFormat/>
    <w:uiPriority w:val="99"/>
    <w:pPr>
      <w:spacing w:after="120"/>
      <w:ind w:left="420" w:leftChars="200"/>
    </w:pPr>
    <w:rPr>
      <w:rFonts w:ascii="Calibri" w:hAnsi="Calibri"/>
      <w:kern w:val="0"/>
      <w:sz w:val="20"/>
      <w:szCs w:val="20"/>
    </w:rPr>
  </w:style>
  <w:style w:type="paragraph" w:styleId="9">
    <w:name w:val="Plain Text"/>
    <w:basedOn w:val="1"/>
    <w:qFormat/>
    <w:uiPriority w:val="0"/>
    <w:rPr>
      <w:rFonts w:ascii="宋体" w:hAnsi="Courier New"/>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2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index 1"/>
    <w:basedOn w:val="1"/>
    <w:next w:val="1"/>
    <w:qFormat/>
    <w:uiPriority w:val="0"/>
  </w:style>
  <w:style w:type="paragraph" w:styleId="14">
    <w:name w:val="annotation subject"/>
    <w:basedOn w:val="7"/>
    <w:next w:val="7"/>
    <w:link w:val="23"/>
    <w:qFormat/>
    <w:uiPriority w:val="0"/>
    <w:rPr>
      <w:b/>
      <w:bCs/>
    </w:rPr>
  </w:style>
  <w:style w:type="paragraph" w:styleId="15">
    <w:name w:val="Body Text First Indent 2"/>
    <w:basedOn w:val="8"/>
    <w:next w:val="10"/>
    <w:qFormat/>
    <w:uiPriority w:val="0"/>
    <w:pPr>
      <w:ind w:firstLine="420" w:firstLineChars="200"/>
    </w:p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文字 字符"/>
    <w:link w:val="7"/>
    <w:qFormat/>
    <w:uiPriority w:val="0"/>
    <w:rPr>
      <w:kern w:val="2"/>
      <w:sz w:val="21"/>
      <w:szCs w:val="24"/>
    </w:rPr>
  </w:style>
  <w:style w:type="character" w:customStyle="1" w:styleId="22">
    <w:name w:val="批注框文本 字符"/>
    <w:link w:val="11"/>
    <w:qFormat/>
    <w:uiPriority w:val="0"/>
    <w:rPr>
      <w:kern w:val="2"/>
      <w:sz w:val="18"/>
      <w:szCs w:val="18"/>
    </w:rPr>
  </w:style>
  <w:style w:type="character" w:customStyle="1" w:styleId="23">
    <w:name w:val="批注主题 字符"/>
    <w:link w:val="14"/>
    <w:qFormat/>
    <w:uiPriority w:val="0"/>
    <w:rPr>
      <w:b/>
      <w:bCs/>
      <w:kern w:val="2"/>
      <w:sz w:val="21"/>
      <w:szCs w:val="24"/>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font11"/>
    <w:qFormat/>
    <w:uiPriority w:val="0"/>
    <w:rPr>
      <w:rFonts w:hint="eastAsia" w:ascii="宋体" w:hAnsi="宋体" w:eastAsia="宋体" w:cs="宋体"/>
      <w:color w:val="000000"/>
      <w:sz w:val="22"/>
      <w:szCs w:val="22"/>
      <w:u w:val="none"/>
    </w:rPr>
  </w:style>
  <w:style w:type="character" w:customStyle="1" w:styleId="26">
    <w:name w:val="font41"/>
    <w:qFormat/>
    <w:uiPriority w:val="0"/>
    <w:rPr>
      <w:rFonts w:hint="eastAsia" w:ascii="宋体" w:hAnsi="宋体" w:eastAsia="宋体" w:cs="宋体"/>
      <w:color w:val="000000"/>
      <w:sz w:val="22"/>
      <w:szCs w:val="22"/>
      <w:u w:val="none"/>
    </w:rPr>
  </w:style>
  <w:style w:type="character" w:customStyle="1" w:styleId="27">
    <w:name w:val="font21"/>
    <w:qFormat/>
    <w:uiPriority w:val="0"/>
    <w:rPr>
      <w:rFonts w:hint="eastAsia" w:ascii="宋体" w:hAnsi="宋体" w:eastAsia="宋体" w:cs="宋体"/>
      <w:color w:val="000000"/>
      <w:sz w:val="18"/>
      <w:szCs w:val="18"/>
      <w:u w:val="none"/>
    </w:rPr>
  </w:style>
  <w:style w:type="paragraph" w:customStyle="1" w:styleId="28">
    <w:name w:val="Char Char9"/>
    <w:basedOn w:val="1"/>
    <w:qFormat/>
    <w:uiPriority w:val="0"/>
    <w:rPr>
      <w:rFonts w:ascii="Calibri" w:hAnsi="Calibri"/>
    </w:rPr>
  </w:style>
  <w:style w:type="paragraph" w:customStyle="1" w:styleId="29">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2">
    <w:name w:val="font51"/>
    <w:basedOn w:val="17"/>
    <w:qFormat/>
    <w:uiPriority w:val="0"/>
    <w:rPr>
      <w:rFonts w:hint="eastAsia" w:ascii="宋体" w:hAnsi="宋体" w:eastAsia="宋体" w:cs="宋体"/>
      <w:color w:val="000000"/>
      <w:sz w:val="18"/>
      <w:szCs w:val="18"/>
      <w:u w:val="single"/>
    </w:rPr>
  </w:style>
  <w:style w:type="paragraph" w:customStyle="1" w:styleId="33">
    <w:name w:val="样式3"/>
    <w:basedOn w:val="9"/>
    <w:qFormat/>
    <w:uiPriority w:val="0"/>
    <w:pPr>
      <w:spacing w:line="0" w:lineRule="atLeast"/>
      <w:outlineLvl w:val="0"/>
    </w:pPr>
    <w:rPr>
      <w:sz w:val="28"/>
    </w:rPr>
  </w:style>
  <w:style w:type="character" w:customStyle="1" w:styleId="34">
    <w:name w:val="font01"/>
    <w:basedOn w:val="17"/>
    <w:qFormat/>
    <w:uiPriority w:val="0"/>
    <w:rPr>
      <w:rFonts w:hint="default" w:ascii="Arial" w:hAnsi="Arial" w:cs="Arial"/>
      <w:color w:val="000000"/>
      <w:sz w:val="22"/>
      <w:szCs w:val="22"/>
      <w:u w:val="none"/>
    </w:rPr>
  </w:style>
  <w:style w:type="paragraph" w:customStyle="1" w:styleId="35">
    <w:name w:val="Table Paragraph"/>
    <w:basedOn w:val="1"/>
    <w:qFormat/>
    <w:uiPriority w:val="99"/>
    <w:pPr>
      <w:jc w:val="left"/>
    </w:pPr>
    <w:rPr>
      <w:rFonts w:ascii="Calibri" w:hAnsi="Calibri" w:cs="Calibri"/>
      <w:kern w:val="0"/>
      <w:sz w:val="22"/>
      <w:szCs w:val="22"/>
      <w:lang w:eastAsia="en-US"/>
    </w:rPr>
  </w:style>
  <w:style w:type="character" w:customStyle="1" w:styleId="36">
    <w:name w:val="font81"/>
    <w:basedOn w:val="17"/>
    <w:qFormat/>
    <w:uiPriority w:val="0"/>
    <w:rPr>
      <w:rFonts w:hint="default" w:ascii="Times New Roman" w:hAnsi="Times New Roman" w:cs="Times New Roman"/>
      <w:color w:val="000000"/>
      <w:sz w:val="24"/>
      <w:szCs w:val="24"/>
      <w:u w:val="none"/>
    </w:rPr>
  </w:style>
  <w:style w:type="character" w:customStyle="1" w:styleId="37">
    <w:name w:val="font71"/>
    <w:basedOn w:val="1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13</TotalTime>
  <ScaleCrop>false</ScaleCrop>
  <LinksUpToDate>false</LinksUpToDate>
  <CharactersWithSpaces>27544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不言语</cp:lastModifiedBy>
  <cp:lastPrinted>2023-03-09T05:37:00Z</cp:lastPrinted>
  <dcterms:modified xsi:type="dcterms:W3CDTF">2023-04-25T08:44:25Z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81BAB06870F94029ADB062538085224A</vt:lpwstr>
  </property>
</Properties>
</file>